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9B08" w14:textId="701DC5FF" w:rsidR="00327590" w:rsidRPr="009B2C31" w:rsidRDefault="00DD2920">
      <w:pPr>
        <w:pStyle w:val="Body"/>
        <w:rPr>
          <w:lang w:val="en-GB"/>
        </w:rPr>
      </w:pPr>
      <w:r w:rsidRPr="009B2C31">
        <w:rPr>
          <w:noProof/>
          <w:lang w:val="en-GB"/>
        </w:rPr>
        <w:drawing>
          <wp:anchor distT="152400" distB="152400" distL="152400" distR="152400" simplePos="0" relativeHeight="251659264" behindDoc="0" locked="0" layoutInCell="1" allowOverlap="1" wp14:anchorId="3ED5E355" wp14:editId="6DD05807">
            <wp:simplePos x="0" y="0"/>
            <wp:positionH relativeFrom="margin">
              <wp:posOffset>-674370</wp:posOffset>
            </wp:positionH>
            <wp:positionV relativeFrom="page">
              <wp:posOffset>192405</wp:posOffset>
            </wp:positionV>
            <wp:extent cx="7298690" cy="1981200"/>
            <wp:effectExtent l="0" t="0" r="381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anner_riks_0.jpg"/>
                    <pic:cNvPicPr>
                      <a:picLocks noChangeAspect="1"/>
                    </pic:cNvPicPr>
                  </pic:nvPicPr>
                  <pic:blipFill>
                    <a:blip r:embed="rId7"/>
                    <a:stretch>
                      <a:fillRect/>
                    </a:stretch>
                  </pic:blipFill>
                  <pic:spPr>
                    <a:xfrm>
                      <a:off x="0" y="0"/>
                      <a:ext cx="7298690" cy="19812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1E560C3" w14:textId="458E55B3" w:rsidR="00327590" w:rsidRPr="009B2C31" w:rsidRDefault="00327590">
      <w:pPr>
        <w:pStyle w:val="Body"/>
        <w:rPr>
          <w:lang w:val="en-GB"/>
        </w:rPr>
      </w:pPr>
    </w:p>
    <w:p w14:paraId="2EBE1BCA" w14:textId="77777777" w:rsidR="00327590" w:rsidRPr="009B2C31" w:rsidRDefault="00327590">
      <w:pPr>
        <w:pStyle w:val="Title"/>
        <w:rPr>
          <w:lang w:val="en-GB"/>
        </w:rPr>
      </w:pPr>
    </w:p>
    <w:p w14:paraId="4E3CD63F" w14:textId="77777777" w:rsidR="00327590" w:rsidRPr="009B2C31" w:rsidRDefault="00327590">
      <w:pPr>
        <w:pStyle w:val="Title"/>
        <w:rPr>
          <w:lang w:val="en-GB"/>
        </w:rPr>
      </w:pPr>
    </w:p>
    <w:p w14:paraId="410E4F9E" w14:textId="7595A919" w:rsidR="00327590" w:rsidRPr="009B2C31" w:rsidRDefault="00F977BD">
      <w:pPr>
        <w:pStyle w:val="Title"/>
        <w:rPr>
          <w:lang w:val="en-GB"/>
        </w:rPr>
      </w:pPr>
      <w:r>
        <w:rPr>
          <w:lang w:val="en-GB"/>
        </w:rPr>
        <w:t xml:space="preserve">The </w:t>
      </w:r>
      <w:r w:rsidR="006C5AE2" w:rsidRPr="009B2C31">
        <w:rPr>
          <w:lang w:val="en-GB"/>
        </w:rPr>
        <w:t>Regional Integration Knowledge System</w:t>
      </w:r>
      <w:r>
        <w:rPr>
          <w:lang w:val="en-GB"/>
        </w:rPr>
        <w:t xml:space="preserve"> 2.0</w:t>
      </w:r>
    </w:p>
    <w:p w14:paraId="2F145B3D" w14:textId="77777777" w:rsidR="00DD2920" w:rsidRDefault="00DD2920" w:rsidP="00F977BD">
      <w:pPr>
        <w:pStyle w:val="Body"/>
        <w:rPr>
          <w:lang w:val="en-GB"/>
        </w:rPr>
      </w:pPr>
    </w:p>
    <w:p w14:paraId="156A92E5" w14:textId="77777777" w:rsidR="00DD2920" w:rsidRDefault="00DD2920" w:rsidP="00F977BD">
      <w:pPr>
        <w:pStyle w:val="Body"/>
        <w:rPr>
          <w:lang w:val="en-GB"/>
        </w:rPr>
      </w:pPr>
    </w:p>
    <w:p w14:paraId="64910D8A" w14:textId="77777777" w:rsidR="00DD2920" w:rsidRDefault="00DD2920" w:rsidP="00F977BD">
      <w:pPr>
        <w:pStyle w:val="Body"/>
        <w:rPr>
          <w:lang w:val="en-GB"/>
        </w:rPr>
      </w:pPr>
    </w:p>
    <w:p w14:paraId="352385A6" w14:textId="34921DE1" w:rsidR="00DD2920" w:rsidRDefault="00DD2920" w:rsidP="00F977BD">
      <w:pPr>
        <w:pStyle w:val="Body"/>
        <w:rPr>
          <w:lang w:val="en-GB"/>
        </w:rPr>
      </w:pPr>
      <w:r>
        <w:rPr>
          <w:lang w:val="en-GB"/>
        </w:rPr>
        <w:t xml:space="preserve">Philippe </w:t>
      </w:r>
      <w:proofErr w:type="spellStart"/>
      <w:r>
        <w:rPr>
          <w:lang w:val="en-GB"/>
        </w:rPr>
        <w:t>Delombaerde</w:t>
      </w:r>
      <w:proofErr w:type="spellEnd"/>
    </w:p>
    <w:p w14:paraId="7277112B" w14:textId="5D76E45C" w:rsidR="00DD2920" w:rsidRDefault="00DD2920" w:rsidP="00F977BD">
      <w:pPr>
        <w:pStyle w:val="Body"/>
        <w:rPr>
          <w:lang w:val="en-GB"/>
        </w:rPr>
      </w:pPr>
      <w:r>
        <w:rPr>
          <w:lang w:val="en-GB"/>
        </w:rPr>
        <w:t xml:space="preserve">Glenn </w:t>
      </w:r>
      <w:proofErr w:type="spellStart"/>
      <w:r>
        <w:rPr>
          <w:lang w:val="en-GB"/>
        </w:rPr>
        <w:t>Rayp</w:t>
      </w:r>
      <w:proofErr w:type="spellEnd"/>
    </w:p>
    <w:p w14:paraId="52C841F6" w14:textId="19EA68E0" w:rsidR="00F977BD" w:rsidRDefault="00DD2920" w:rsidP="00F977BD">
      <w:pPr>
        <w:pStyle w:val="Body"/>
        <w:rPr>
          <w:lang w:val="en-GB"/>
        </w:rPr>
      </w:pPr>
      <w:r>
        <w:rPr>
          <w:lang w:val="en-GB"/>
        </w:rPr>
        <w:t>Samuel Standaert</w:t>
      </w:r>
    </w:p>
    <w:p w14:paraId="59B4DB61" w14:textId="2BC147F1" w:rsidR="00DD2920" w:rsidRDefault="00DD2920">
      <w:pPr>
        <w:pStyle w:val="Body"/>
        <w:rPr>
          <w:rFonts w:ascii="Arial Unicode MS" w:hAnsi="Arial Unicode MS"/>
          <w:lang w:val="en-GB"/>
        </w:rPr>
      </w:pPr>
    </w:p>
    <w:p w14:paraId="30F1B61A" w14:textId="43E3DD36" w:rsidR="00DD2920" w:rsidRDefault="00DD2920">
      <w:pPr>
        <w:pStyle w:val="Body"/>
        <w:rPr>
          <w:rFonts w:ascii="Arial Unicode MS" w:hAnsi="Arial Unicode MS"/>
          <w:lang w:val="en-GB"/>
        </w:rPr>
      </w:pPr>
    </w:p>
    <w:p w14:paraId="17AA2B53" w14:textId="764CC64C" w:rsidR="00DD2920" w:rsidRDefault="00DD2920">
      <w:pPr>
        <w:pStyle w:val="Body"/>
        <w:rPr>
          <w:rFonts w:ascii="Arial Unicode MS" w:hAnsi="Arial Unicode MS"/>
          <w:lang w:val="en-GB"/>
        </w:rPr>
      </w:pPr>
    </w:p>
    <w:p w14:paraId="7A6045D2" w14:textId="77777777" w:rsidR="00DD2920" w:rsidRDefault="00DD2920">
      <w:pPr>
        <w:pStyle w:val="Body"/>
        <w:rPr>
          <w:rFonts w:ascii="Arial Unicode MS" w:hAnsi="Arial Unicode MS"/>
          <w:lang w:val="en-GB"/>
        </w:rPr>
      </w:pPr>
    </w:p>
    <w:p w14:paraId="5F3B513D" w14:textId="77777777" w:rsidR="00DD2920" w:rsidRDefault="00DD2920">
      <w:pPr>
        <w:pStyle w:val="Body"/>
        <w:rPr>
          <w:rFonts w:ascii="Arial Unicode MS" w:hAnsi="Arial Unicode MS"/>
          <w:lang w:val="en-GB"/>
        </w:rPr>
      </w:pPr>
    </w:p>
    <w:p w14:paraId="5068CF4A" w14:textId="3B11D349" w:rsidR="00DD2920" w:rsidRDefault="00DD2920">
      <w:pPr>
        <w:pStyle w:val="Body"/>
        <w:rPr>
          <w:rFonts w:ascii="Arial Unicode MS" w:hAnsi="Arial Unicode MS"/>
          <w:lang w:val="en-GB"/>
        </w:rPr>
      </w:pPr>
      <w:r>
        <w:rPr>
          <w:rFonts w:ascii="Arial Unicode MS" w:hAnsi="Arial Unicode MS"/>
          <w:lang w:val="en-GB"/>
        </w:rPr>
        <w:t>September 2020</w:t>
      </w:r>
    </w:p>
    <w:p w14:paraId="767E8427" w14:textId="147D37BE" w:rsidR="00327590" w:rsidRDefault="00DD2920" w:rsidP="00DD2920">
      <w:pPr>
        <w:pStyle w:val="Body"/>
        <w:jc w:val="right"/>
        <w:rPr>
          <w:rFonts w:ascii="Arial Unicode MS" w:hAnsi="Arial Unicode MS"/>
          <w:lang w:val="en-GB"/>
        </w:rPr>
      </w:pPr>
      <w:r w:rsidRPr="009B2C31">
        <w:rPr>
          <w:rFonts w:ascii="Times New Roman" w:hAnsi="Times New Roman"/>
          <w:noProof/>
          <w:lang w:val="en-GB"/>
        </w:rPr>
        <w:drawing>
          <wp:inline distT="0" distB="0" distL="0" distR="0" wp14:anchorId="7E069F68" wp14:editId="5F1E5C21">
            <wp:extent cx="1838325" cy="742950"/>
            <wp:effectExtent l="0" t="0" r="0" b="0"/>
            <wp:docPr id="9" name="officeArt object" descr="A picture conta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9" name="officeArt object" descr="A picture containing table&#10;&#10;Description automatically generated"/>
                    <pic:cNvPicPr>
                      <a:picLocks noChangeAspect="1"/>
                    </pic:cNvPicPr>
                  </pic:nvPicPr>
                  <pic:blipFill>
                    <a:blip r:embed="rId8"/>
                    <a:stretch>
                      <a:fillRect/>
                    </a:stretch>
                  </pic:blipFill>
                  <pic:spPr>
                    <a:xfrm>
                      <a:off x="0" y="0"/>
                      <a:ext cx="1838325" cy="742950"/>
                    </a:xfrm>
                    <a:prstGeom prst="rect">
                      <a:avLst/>
                    </a:prstGeom>
                    <a:ln w="12700" cap="flat">
                      <a:noFill/>
                      <a:miter lim="400000"/>
                    </a:ln>
                    <a:effectLst/>
                  </pic:spPr>
                </pic:pic>
              </a:graphicData>
            </a:graphic>
          </wp:inline>
        </w:drawing>
      </w:r>
      <w:r w:rsidR="006C5AE2" w:rsidRPr="009B2C31">
        <w:rPr>
          <w:rFonts w:ascii="Arial Unicode MS" w:hAnsi="Arial Unicode MS"/>
          <w:lang w:val="en-GB"/>
        </w:rPr>
        <w:br w:type="page"/>
      </w:r>
    </w:p>
    <w:p w14:paraId="28CFFA3E" w14:textId="77777777" w:rsidR="00DD2920" w:rsidRPr="009B2C31" w:rsidRDefault="00DD2920">
      <w:pPr>
        <w:pStyle w:val="Body"/>
        <w:rPr>
          <w:lang w:val="en-GB"/>
        </w:rPr>
      </w:pPr>
    </w:p>
    <w:p w14:paraId="01CA10AB" w14:textId="68D55AAA" w:rsidR="00F03120" w:rsidRDefault="006C5AE2">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9B2C31">
        <w:rPr>
          <w:lang w:val="en-GB"/>
        </w:rPr>
        <w:fldChar w:fldCharType="begin"/>
      </w:r>
      <w:r w:rsidRPr="009B2C31">
        <w:rPr>
          <w:lang w:val="en-GB"/>
        </w:rPr>
        <w:instrText xml:space="preserve"> TOC \o 1-3 </w:instrText>
      </w:r>
      <w:r w:rsidRPr="009B2C31">
        <w:rPr>
          <w:lang w:val="en-GB"/>
        </w:rPr>
        <w:fldChar w:fldCharType="separate"/>
      </w:r>
      <w:r w:rsidR="00F03120" w:rsidRPr="004A4AE3">
        <w:rPr>
          <w:rFonts w:eastAsia="Arial Unicode MS" w:cs="Arial Unicode MS"/>
          <w:noProof/>
          <w:lang w:val="en-GB"/>
        </w:rPr>
        <w:t>Terms of Use</w:t>
      </w:r>
      <w:r w:rsidR="00F03120">
        <w:rPr>
          <w:noProof/>
        </w:rPr>
        <w:tab/>
      </w:r>
      <w:r w:rsidR="00F03120">
        <w:rPr>
          <w:noProof/>
        </w:rPr>
        <w:fldChar w:fldCharType="begin"/>
      </w:r>
      <w:r w:rsidR="00F03120">
        <w:rPr>
          <w:noProof/>
        </w:rPr>
        <w:instrText xml:space="preserve"> PAGEREF _Toc26868463 \h </w:instrText>
      </w:r>
      <w:r w:rsidR="00F03120">
        <w:rPr>
          <w:noProof/>
        </w:rPr>
      </w:r>
      <w:r w:rsidR="00F03120">
        <w:rPr>
          <w:noProof/>
        </w:rPr>
        <w:fldChar w:fldCharType="separate"/>
      </w:r>
      <w:r w:rsidR="00F977BD">
        <w:rPr>
          <w:noProof/>
        </w:rPr>
        <w:t>3</w:t>
      </w:r>
      <w:r w:rsidR="00F03120">
        <w:rPr>
          <w:noProof/>
        </w:rPr>
        <w:fldChar w:fldCharType="end"/>
      </w:r>
    </w:p>
    <w:p w14:paraId="3FEE33B5" w14:textId="22ECE97C"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Introduction</w:t>
      </w:r>
      <w:r>
        <w:rPr>
          <w:noProof/>
        </w:rPr>
        <w:tab/>
      </w:r>
      <w:r>
        <w:rPr>
          <w:noProof/>
        </w:rPr>
        <w:fldChar w:fldCharType="begin"/>
      </w:r>
      <w:r>
        <w:rPr>
          <w:noProof/>
        </w:rPr>
        <w:instrText xml:space="preserve"> PAGEREF _Toc26868464 \h </w:instrText>
      </w:r>
      <w:r>
        <w:rPr>
          <w:noProof/>
        </w:rPr>
      </w:r>
      <w:r>
        <w:rPr>
          <w:noProof/>
        </w:rPr>
        <w:fldChar w:fldCharType="separate"/>
      </w:r>
      <w:r w:rsidR="00F977BD">
        <w:rPr>
          <w:noProof/>
        </w:rPr>
        <w:t>4</w:t>
      </w:r>
      <w:r>
        <w:rPr>
          <w:noProof/>
        </w:rPr>
        <w:fldChar w:fldCharType="end"/>
      </w:r>
    </w:p>
    <w:p w14:paraId="30427A74" w14:textId="48D95573"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Organization</w:t>
      </w:r>
      <w:r>
        <w:rPr>
          <w:noProof/>
        </w:rPr>
        <w:tab/>
      </w:r>
      <w:r>
        <w:rPr>
          <w:noProof/>
        </w:rPr>
        <w:fldChar w:fldCharType="begin"/>
      </w:r>
      <w:r>
        <w:rPr>
          <w:noProof/>
        </w:rPr>
        <w:instrText xml:space="preserve"> PAGEREF _Toc26868465 \h </w:instrText>
      </w:r>
      <w:r>
        <w:rPr>
          <w:noProof/>
        </w:rPr>
      </w:r>
      <w:r>
        <w:rPr>
          <w:noProof/>
        </w:rPr>
        <w:fldChar w:fldCharType="separate"/>
      </w:r>
      <w:r w:rsidR="00F977BD">
        <w:rPr>
          <w:noProof/>
        </w:rPr>
        <w:t>5</w:t>
      </w:r>
      <w:r>
        <w:rPr>
          <w:noProof/>
        </w:rPr>
        <w:fldChar w:fldCharType="end"/>
      </w:r>
    </w:p>
    <w:p w14:paraId="01607A81" w14:textId="7EA8D0A7"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Regional Integration Arrangements</w:t>
      </w:r>
      <w:r>
        <w:rPr>
          <w:noProof/>
        </w:rPr>
        <w:tab/>
      </w:r>
      <w:r>
        <w:rPr>
          <w:noProof/>
        </w:rPr>
        <w:fldChar w:fldCharType="begin"/>
      </w:r>
      <w:r>
        <w:rPr>
          <w:noProof/>
        </w:rPr>
        <w:instrText xml:space="preserve"> PAGEREF _Toc26868466 \h </w:instrText>
      </w:r>
      <w:r>
        <w:rPr>
          <w:noProof/>
        </w:rPr>
      </w:r>
      <w:r>
        <w:rPr>
          <w:noProof/>
        </w:rPr>
        <w:fldChar w:fldCharType="separate"/>
      </w:r>
      <w:r w:rsidR="00F977BD">
        <w:rPr>
          <w:noProof/>
        </w:rPr>
        <w:t>6</w:t>
      </w:r>
      <w:r>
        <w:rPr>
          <w:noProof/>
        </w:rPr>
        <w:fldChar w:fldCharType="end"/>
      </w:r>
    </w:p>
    <w:p w14:paraId="6D48497A" w14:textId="5F20903A"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Definition</w:t>
      </w:r>
      <w:r>
        <w:rPr>
          <w:noProof/>
        </w:rPr>
        <w:tab/>
      </w:r>
      <w:r>
        <w:rPr>
          <w:noProof/>
        </w:rPr>
        <w:fldChar w:fldCharType="begin"/>
      </w:r>
      <w:r>
        <w:rPr>
          <w:noProof/>
        </w:rPr>
        <w:instrText xml:space="preserve"> PAGEREF _Toc26868467 \h </w:instrText>
      </w:r>
      <w:r>
        <w:rPr>
          <w:noProof/>
        </w:rPr>
      </w:r>
      <w:r>
        <w:rPr>
          <w:noProof/>
        </w:rPr>
        <w:fldChar w:fldCharType="separate"/>
      </w:r>
      <w:r w:rsidR="00F977BD">
        <w:rPr>
          <w:noProof/>
        </w:rPr>
        <w:t>6</w:t>
      </w:r>
      <w:r>
        <w:rPr>
          <w:noProof/>
        </w:rPr>
        <w:fldChar w:fldCharType="end"/>
      </w:r>
    </w:p>
    <w:p w14:paraId="0937CA61" w14:textId="4F62CE30"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Information</w:t>
      </w:r>
      <w:r>
        <w:rPr>
          <w:noProof/>
        </w:rPr>
        <w:tab/>
      </w:r>
      <w:r>
        <w:rPr>
          <w:noProof/>
        </w:rPr>
        <w:fldChar w:fldCharType="begin"/>
      </w:r>
      <w:r>
        <w:rPr>
          <w:noProof/>
        </w:rPr>
        <w:instrText xml:space="preserve"> PAGEREF _Toc26868468 \h </w:instrText>
      </w:r>
      <w:r>
        <w:rPr>
          <w:noProof/>
        </w:rPr>
      </w:r>
      <w:r>
        <w:rPr>
          <w:noProof/>
        </w:rPr>
        <w:fldChar w:fldCharType="separate"/>
      </w:r>
      <w:r w:rsidR="00F977BD">
        <w:rPr>
          <w:noProof/>
        </w:rPr>
        <w:t>7</w:t>
      </w:r>
      <w:r>
        <w:rPr>
          <w:noProof/>
        </w:rPr>
        <w:fldChar w:fldCharType="end"/>
      </w:r>
    </w:p>
    <w:p w14:paraId="3C5BB066" w14:textId="62FEBA39"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Treaty texts</w:t>
      </w:r>
      <w:r>
        <w:rPr>
          <w:noProof/>
        </w:rPr>
        <w:tab/>
      </w:r>
      <w:r>
        <w:rPr>
          <w:noProof/>
        </w:rPr>
        <w:fldChar w:fldCharType="begin"/>
      </w:r>
      <w:r>
        <w:rPr>
          <w:noProof/>
        </w:rPr>
        <w:instrText xml:space="preserve"> PAGEREF _Toc26868469 \h </w:instrText>
      </w:r>
      <w:r>
        <w:rPr>
          <w:noProof/>
        </w:rPr>
      </w:r>
      <w:r>
        <w:rPr>
          <w:noProof/>
        </w:rPr>
        <w:fldChar w:fldCharType="separate"/>
      </w:r>
      <w:r w:rsidR="00F977BD">
        <w:rPr>
          <w:noProof/>
        </w:rPr>
        <w:t>7</w:t>
      </w:r>
      <w:r>
        <w:rPr>
          <w:noProof/>
        </w:rPr>
        <w:fldChar w:fldCharType="end"/>
      </w:r>
    </w:p>
    <w:p w14:paraId="248B05A2" w14:textId="308F4DD2"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Data Sources</w:t>
      </w:r>
      <w:r>
        <w:rPr>
          <w:noProof/>
        </w:rPr>
        <w:tab/>
      </w:r>
      <w:r>
        <w:rPr>
          <w:noProof/>
        </w:rPr>
        <w:fldChar w:fldCharType="begin"/>
      </w:r>
      <w:r>
        <w:rPr>
          <w:noProof/>
        </w:rPr>
        <w:instrText xml:space="preserve"> PAGEREF _Toc26868470 \h </w:instrText>
      </w:r>
      <w:r>
        <w:rPr>
          <w:noProof/>
        </w:rPr>
      </w:r>
      <w:r>
        <w:rPr>
          <w:noProof/>
        </w:rPr>
        <w:fldChar w:fldCharType="separate"/>
      </w:r>
      <w:r w:rsidR="00F977BD">
        <w:rPr>
          <w:noProof/>
        </w:rPr>
        <w:t>8</w:t>
      </w:r>
      <w:r>
        <w:rPr>
          <w:noProof/>
        </w:rPr>
        <w:fldChar w:fldCharType="end"/>
      </w:r>
    </w:p>
    <w:p w14:paraId="0463E3C2" w14:textId="6E82F959" w:rsidR="00F03120" w:rsidRDefault="00F03120">
      <w:pPr>
        <w:pStyle w:val="TOC1"/>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Regional Integration Indicators</w:t>
      </w:r>
      <w:r>
        <w:rPr>
          <w:noProof/>
        </w:rPr>
        <w:tab/>
      </w:r>
      <w:r>
        <w:rPr>
          <w:noProof/>
        </w:rPr>
        <w:fldChar w:fldCharType="begin"/>
      </w:r>
      <w:r>
        <w:rPr>
          <w:noProof/>
        </w:rPr>
        <w:instrText xml:space="preserve"> PAGEREF _Toc26868471 \h </w:instrText>
      </w:r>
      <w:r>
        <w:rPr>
          <w:noProof/>
        </w:rPr>
      </w:r>
      <w:r>
        <w:rPr>
          <w:noProof/>
        </w:rPr>
        <w:fldChar w:fldCharType="separate"/>
      </w:r>
      <w:r w:rsidR="00F977BD">
        <w:rPr>
          <w:noProof/>
        </w:rPr>
        <w:t>9</w:t>
      </w:r>
      <w:r>
        <w:rPr>
          <w:noProof/>
        </w:rPr>
        <w:fldChar w:fldCharType="end"/>
      </w:r>
    </w:p>
    <w:p w14:paraId="07253D08" w14:textId="15D709EC"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Data sources</w:t>
      </w:r>
      <w:r>
        <w:rPr>
          <w:noProof/>
        </w:rPr>
        <w:tab/>
      </w:r>
      <w:r>
        <w:rPr>
          <w:noProof/>
        </w:rPr>
        <w:fldChar w:fldCharType="begin"/>
      </w:r>
      <w:r>
        <w:rPr>
          <w:noProof/>
        </w:rPr>
        <w:instrText xml:space="preserve"> PAGEREF _Toc26868472 \h </w:instrText>
      </w:r>
      <w:r>
        <w:rPr>
          <w:noProof/>
        </w:rPr>
      </w:r>
      <w:r>
        <w:rPr>
          <w:noProof/>
        </w:rPr>
        <w:fldChar w:fldCharType="separate"/>
      </w:r>
      <w:r w:rsidR="00F977BD">
        <w:rPr>
          <w:noProof/>
        </w:rPr>
        <w:t>10</w:t>
      </w:r>
      <w:r>
        <w:rPr>
          <w:noProof/>
        </w:rPr>
        <w:fldChar w:fldCharType="end"/>
      </w:r>
    </w:p>
    <w:p w14:paraId="3AA30E2F" w14:textId="3DB9F9B6"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International Trade</w:t>
      </w:r>
      <w:r>
        <w:rPr>
          <w:noProof/>
        </w:rPr>
        <w:tab/>
      </w:r>
      <w:r>
        <w:rPr>
          <w:noProof/>
        </w:rPr>
        <w:fldChar w:fldCharType="begin"/>
      </w:r>
      <w:r>
        <w:rPr>
          <w:noProof/>
        </w:rPr>
        <w:instrText xml:space="preserve"> PAGEREF _Toc26868473 \h </w:instrText>
      </w:r>
      <w:r>
        <w:rPr>
          <w:noProof/>
        </w:rPr>
      </w:r>
      <w:r>
        <w:rPr>
          <w:noProof/>
        </w:rPr>
        <w:fldChar w:fldCharType="separate"/>
      </w:r>
      <w:r w:rsidR="00F977BD">
        <w:rPr>
          <w:noProof/>
        </w:rPr>
        <w:t>10</w:t>
      </w:r>
      <w:r>
        <w:rPr>
          <w:noProof/>
        </w:rPr>
        <w:fldChar w:fldCharType="end"/>
      </w:r>
    </w:p>
    <w:p w14:paraId="1C63F658" w14:textId="768EDFD0"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Migration</w:t>
      </w:r>
      <w:r>
        <w:rPr>
          <w:noProof/>
        </w:rPr>
        <w:tab/>
      </w:r>
      <w:r>
        <w:rPr>
          <w:noProof/>
        </w:rPr>
        <w:fldChar w:fldCharType="begin"/>
      </w:r>
      <w:r>
        <w:rPr>
          <w:noProof/>
        </w:rPr>
        <w:instrText xml:space="preserve"> PAGEREF _Toc26868474 \h </w:instrText>
      </w:r>
      <w:r>
        <w:rPr>
          <w:noProof/>
        </w:rPr>
      </w:r>
      <w:r>
        <w:rPr>
          <w:noProof/>
        </w:rPr>
        <w:fldChar w:fldCharType="separate"/>
      </w:r>
      <w:r w:rsidR="00F977BD">
        <w:rPr>
          <w:noProof/>
        </w:rPr>
        <w:t>10</w:t>
      </w:r>
      <w:r>
        <w:rPr>
          <w:noProof/>
        </w:rPr>
        <w:fldChar w:fldCharType="end"/>
      </w:r>
    </w:p>
    <w:p w14:paraId="41EE5C92" w14:textId="79C12E73"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Investment</w:t>
      </w:r>
      <w:r>
        <w:rPr>
          <w:noProof/>
        </w:rPr>
        <w:tab/>
      </w:r>
      <w:r>
        <w:rPr>
          <w:noProof/>
        </w:rPr>
        <w:fldChar w:fldCharType="begin"/>
      </w:r>
      <w:r>
        <w:rPr>
          <w:noProof/>
        </w:rPr>
        <w:instrText xml:space="preserve"> PAGEREF _Toc26868475 \h </w:instrText>
      </w:r>
      <w:r>
        <w:rPr>
          <w:noProof/>
        </w:rPr>
      </w:r>
      <w:r>
        <w:rPr>
          <w:noProof/>
        </w:rPr>
        <w:fldChar w:fldCharType="separate"/>
      </w:r>
      <w:r w:rsidR="00F977BD">
        <w:rPr>
          <w:noProof/>
        </w:rPr>
        <w:t>11</w:t>
      </w:r>
      <w:r>
        <w:rPr>
          <w:noProof/>
        </w:rPr>
        <w:fldChar w:fldCharType="end"/>
      </w:r>
    </w:p>
    <w:p w14:paraId="70621544" w14:textId="7820838E"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Population</w:t>
      </w:r>
      <w:r>
        <w:rPr>
          <w:noProof/>
        </w:rPr>
        <w:tab/>
      </w:r>
      <w:r>
        <w:rPr>
          <w:noProof/>
        </w:rPr>
        <w:fldChar w:fldCharType="begin"/>
      </w:r>
      <w:r>
        <w:rPr>
          <w:noProof/>
        </w:rPr>
        <w:instrText xml:space="preserve"> PAGEREF _Toc26868476 \h </w:instrText>
      </w:r>
      <w:r>
        <w:rPr>
          <w:noProof/>
        </w:rPr>
      </w:r>
      <w:r>
        <w:rPr>
          <w:noProof/>
        </w:rPr>
        <w:fldChar w:fldCharType="separate"/>
      </w:r>
      <w:r w:rsidR="00F977BD">
        <w:rPr>
          <w:noProof/>
        </w:rPr>
        <w:t>11</w:t>
      </w:r>
      <w:r>
        <w:rPr>
          <w:noProof/>
        </w:rPr>
        <w:fldChar w:fldCharType="end"/>
      </w:r>
    </w:p>
    <w:p w14:paraId="7DD6D5CC" w14:textId="1C35F655"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GDP</w:t>
      </w:r>
      <w:r>
        <w:rPr>
          <w:noProof/>
        </w:rPr>
        <w:tab/>
      </w:r>
      <w:r>
        <w:rPr>
          <w:noProof/>
        </w:rPr>
        <w:fldChar w:fldCharType="begin"/>
      </w:r>
      <w:r>
        <w:rPr>
          <w:noProof/>
        </w:rPr>
        <w:instrText xml:space="preserve"> PAGEREF _Toc26868477 \h </w:instrText>
      </w:r>
      <w:r>
        <w:rPr>
          <w:noProof/>
        </w:rPr>
      </w:r>
      <w:r>
        <w:rPr>
          <w:noProof/>
        </w:rPr>
        <w:fldChar w:fldCharType="separate"/>
      </w:r>
      <w:r w:rsidR="00F977BD">
        <w:rPr>
          <w:noProof/>
        </w:rPr>
        <w:t>11</w:t>
      </w:r>
      <w:r>
        <w:rPr>
          <w:noProof/>
        </w:rPr>
        <w:fldChar w:fldCharType="end"/>
      </w:r>
    </w:p>
    <w:p w14:paraId="35D4FC4E" w14:textId="4552786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HDI</w:t>
      </w:r>
      <w:r>
        <w:rPr>
          <w:noProof/>
        </w:rPr>
        <w:tab/>
      </w:r>
      <w:r>
        <w:rPr>
          <w:noProof/>
        </w:rPr>
        <w:fldChar w:fldCharType="begin"/>
      </w:r>
      <w:r>
        <w:rPr>
          <w:noProof/>
        </w:rPr>
        <w:instrText xml:space="preserve"> PAGEREF _Toc26868478 \h </w:instrText>
      </w:r>
      <w:r>
        <w:rPr>
          <w:noProof/>
        </w:rPr>
      </w:r>
      <w:r>
        <w:rPr>
          <w:noProof/>
        </w:rPr>
        <w:fldChar w:fldCharType="separate"/>
      </w:r>
      <w:r w:rsidR="00F977BD">
        <w:rPr>
          <w:noProof/>
        </w:rPr>
        <w:t>12</w:t>
      </w:r>
      <w:r>
        <w:rPr>
          <w:noProof/>
        </w:rPr>
        <w:fldChar w:fldCharType="end"/>
      </w:r>
    </w:p>
    <w:p w14:paraId="46E0064A" w14:textId="1D723A42"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Indicators of regional integration intensity</w:t>
      </w:r>
      <w:r>
        <w:rPr>
          <w:noProof/>
        </w:rPr>
        <w:tab/>
      </w:r>
      <w:r>
        <w:rPr>
          <w:noProof/>
        </w:rPr>
        <w:fldChar w:fldCharType="begin"/>
      </w:r>
      <w:r>
        <w:rPr>
          <w:noProof/>
        </w:rPr>
        <w:instrText xml:space="preserve"> PAGEREF _Toc26868479 \h </w:instrText>
      </w:r>
      <w:r>
        <w:rPr>
          <w:noProof/>
        </w:rPr>
      </w:r>
      <w:r>
        <w:rPr>
          <w:noProof/>
        </w:rPr>
        <w:fldChar w:fldCharType="separate"/>
      </w:r>
      <w:r w:rsidR="00F977BD">
        <w:rPr>
          <w:noProof/>
        </w:rPr>
        <w:t>12</w:t>
      </w:r>
      <w:r>
        <w:rPr>
          <w:noProof/>
        </w:rPr>
        <w:fldChar w:fldCharType="end"/>
      </w:r>
    </w:p>
    <w:p w14:paraId="1B5E2970" w14:textId="05CE7DD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Intra-regional share (ITS, IMS, IIS)</w:t>
      </w:r>
      <w:r>
        <w:rPr>
          <w:noProof/>
        </w:rPr>
        <w:tab/>
      </w:r>
      <w:r>
        <w:rPr>
          <w:noProof/>
        </w:rPr>
        <w:fldChar w:fldCharType="begin"/>
      </w:r>
      <w:r>
        <w:rPr>
          <w:noProof/>
        </w:rPr>
        <w:instrText xml:space="preserve"> PAGEREF _Toc26868480 \h </w:instrText>
      </w:r>
      <w:r>
        <w:rPr>
          <w:noProof/>
        </w:rPr>
      </w:r>
      <w:r>
        <w:rPr>
          <w:noProof/>
        </w:rPr>
        <w:fldChar w:fldCharType="separate"/>
      </w:r>
      <w:r w:rsidR="00F977BD">
        <w:rPr>
          <w:noProof/>
        </w:rPr>
        <w:t>12</w:t>
      </w:r>
      <w:r>
        <w:rPr>
          <w:noProof/>
        </w:rPr>
        <w:fldChar w:fldCharType="end"/>
      </w:r>
    </w:p>
    <w:p w14:paraId="06687E64" w14:textId="0783F2F6"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Intra-regional intensity index (ITI, IMI, III)</w:t>
      </w:r>
      <w:r>
        <w:rPr>
          <w:noProof/>
        </w:rPr>
        <w:tab/>
      </w:r>
      <w:r>
        <w:rPr>
          <w:noProof/>
        </w:rPr>
        <w:fldChar w:fldCharType="begin"/>
      </w:r>
      <w:r>
        <w:rPr>
          <w:noProof/>
        </w:rPr>
        <w:instrText xml:space="preserve"> PAGEREF _Toc26868481 \h </w:instrText>
      </w:r>
      <w:r>
        <w:rPr>
          <w:noProof/>
        </w:rPr>
      </w:r>
      <w:r>
        <w:rPr>
          <w:noProof/>
        </w:rPr>
        <w:fldChar w:fldCharType="separate"/>
      </w:r>
      <w:r w:rsidR="00F977BD">
        <w:rPr>
          <w:noProof/>
        </w:rPr>
        <w:t>13</w:t>
      </w:r>
      <w:r>
        <w:rPr>
          <w:noProof/>
        </w:rPr>
        <w:fldChar w:fldCharType="end"/>
      </w:r>
    </w:p>
    <w:p w14:paraId="71C5677D" w14:textId="370AD40C"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Homogenous intra-regional and extra-regional intensity indexes</w:t>
      </w:r>
      <w:r>
        <w:rPr>
          <w:noProof/>
        </w:rPr>
        <w:tab/>
      </w:r>
      <w:r>
        <w:rPr>
          <w:noProof/>
        </w:rPr>
        <w:fldChar w:fldCharType="begin"/>
      </w:r>
      <w:r>
        <w:rPr>
          <w:noProof/>
        </w:rPr>
        <w:instrText xml:space="preserve"> PAGEREF _Toc26868482 \h </w:instrText>
      </w:r>
      <w:r>
        <w:rPr>
          <w:noProof/>
        </w:rPr>
      </w:r>
      <w:r>
        <w:rPr>
          <w:noProof/>
        </w:rPr>
        <w:fldChar w:fldCharType="separate"/>
      </w:r>
      <w:r w:rsidR="00F977BD">
        <w:rPr>
          <w:noProof/>
        </w:rPr>
        <w:t>14</w:t>
      </w:r>
      <w:r>
        <w:rPr>
          <w:noProof/>
        </w:rPr>
        <w:fldChar w:fldCharType="end"/>
      </w:r>
    </w:p>
    <w:p w14:paraId="3D202A36" w14:textId="79ED67CA"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Symmetric introversion index (STJ, SMJ, SIJ)</w:t>
      </w:r>
      <w:r>
        <w:rPr>
          <w:noProof/>
        </w:rPr>
        <w:tab/>
      </w:r>
      <w:r>
        <w:rPr>
          <w:noProof/>
        </w:rPr>
        <w:fldChar w:fldCharType="begin"/>
      </w:r>
      <w:r>
        <w:rPr>
          <w:noProof/>
        </w:rPr>
        <w:instrText xml:space="preserve"> PAGEREF _Toc26868483 \h </w:instrText>
      </w:r>
      <w:r>
        <w:rPr>
          <w:noProof/>
        </w:rPr>
      </w:r>
      <w:r>
        <w:rPr>
          <w:noProof/>
        </w:rPr>
        <w:fldChar w:fldCharType="separate"/>
      </w:r>
      <w:r w:rsidR="00F977BD">
        <w:rPr>
          <w:noProof/>
        </w:rPr>
        <w:t>14</w:t>
      </w:r>
      <w:r>
        <w:rPr>
          <w:noProof/>
        </w:rPr>
        <w:fldChar w:fldCharType="end"/>
      </w:r>
    </w:p>
    <w:p w14:paraId="16002094" w14:textId="3CC71C0E" w:rsidR="00F03120" w:rsidRDefault="00F03120">
      <w:pPr>
        <w:pStyle w:val="TOC2"/>
        <w:rPr>
          <w:rFonts w:asciiTheme="minorHAnsi" w:eastAsiaTheme="minorEastAsia" w:hAnsiTheme="minorHAnsi" w:cstheme="minorBidi"/>
          <w:noProof/>
          <w:color w:val="auto"/>
          <w:sz w:val="22"/>
          <w:szCs w:val="22"/>
          <w:bdr w:val="none" w:sz="0" w:space="0" w:color="auto"/>
          <w14:textOutline w14:w="0" w14:cap="rnd" w14:cmpd="sng" w14:algn="ctr">
            <w14:noFill/>
            <w14:prstDash w14:val="solid"/>
            <w14:bevel/>
          </w14:textOutline>
        </w:rPr>
      </w:pPr>
      <w:r w:rsidRPr="004A4AE3">
        <w:rPr>
          <w:rFonts w:eastAsia="Arial Unicode MS" w:cs="Arial Unicode MS"/>
          <w:noProof/>
          <w:lang w:val="en-GB"/>
        </w:rPr>
        <w:t>Indicators of the position in the world economy</w:t>
      </w:r>
      <w:r>
        <w:rPr>
          <w:noProof/>
        </w:rPr>
        <w:tab/>
      </w:r>
      <w:r>
        <w:rPr>
          <w:noProof/>
        </w:rPr>
        <w:fldChar w:fldCharType="begin"/>
      </w:r>
      <w:r>
        <w:rPr>
          <w:noProof/>
        </w:rPr>
        <w:instrText xml:space="preserve"> PAGEREF _Toc26868484 \h </w:instrText>
      </w:r>
      <w:r>
        <w:rPr>
          <w:noProof/>
        </w:rPr>
      </w:r>
      <w:r>
        <w:rPr>
          <w:noProof/>
        </w:rPr>
        <w:fldChar w:fldCharType="separate"/>
      </w:r>
      <w:r w:rsidR="00F977BD">
        <w:rPr>
          <w:noProof/>
        </w:rPr>
        <w:t>15</w:t>
      </w:r>
      <w:r>
        <w:rPr>
          <w:noProof/>
        </w:rPr>
        <w:fldChar w:fldCharType="end"/>
      </w:r>
    </w:p>
    <w:p w14:paraId="1DEE81C5" w14:textId="4138368A"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Population (POP)</w:t>
      </w:r>
      <w:r>
        <w:rPr>
          <w:noProof/>
        </w:rPr>
        <w:tab/>
      </w:r>
      <w:r>
        <w:rPr>
          <w:noProof/>
        </w:rPr>
        <w:fldChar w:fldCharType="begin"/>
      </w:r>
      <w:r>
        <w:rPr>
          <w:noProof/>
        </w:rPr>
        <w:instrText xml:space="preserve"> PAGEREF _Toc26868485 \h </w:instrText>
      </w:r>
      <w:r>
        <w:rPr>
          <w:noProof/>
        </w:rPr>
      </w:r>
      <w:r>
        <w:rPr>
          <w:noProof/>
        </w:rPr>
        <w:fldChar w:fldCharType="separate"/>
      </w:r>
      <w:r w:rsidR="00F977BD">
        <w:rPr>
          <w:noProof/>
        </w:rPr>
        <w:t>15</w:t>
      </w:r>
      <w:r>
        <w:rPr>
          <w:noProof/>
        </w:rPr>
        <w:fldChar w:fldCharType="end"/>
      </w:r>
    </w:p>
    <w:p w14:paraId="61F5184A" w14:textId="70B52441"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Share of world population (POPS)</w:t>
      </w:r>
      <w:r>
        <w:rPr>
          <w:noProof/>
        </w:rPr>
        <w:tab/>
      </w:r>
      <w:r>
        <w:rPr>
          <w:noProof/>
        </w:rPr>
        <w:fldChar w:fldCharType="begin"/>
      </w:r>
      <w:r>
        <w:rPr>
          <w:noProof/>
        </w:rPr>
        <w:instrText xml:space="preserve"> PAGEREF _Toc26868486 \h </w:instrText>
      </w:r>
      <w:r>
        <w:rPr>
          <w:noProof/>
        </w:rPr>
      </w:r>
      <w:r>
        <w:rPr>
          <w:noProof/>
        </w:rPr>
        <w:fldChar w:fldCharType="separate"/>
      </w:r>
      <w:r w:rsidR="00F977BD">
        <w:rPr>
          <w:noProof/>
        </w:rPr>
        <w:t>16</w:t>
      </w:r>
      <w:r>
        <w:rPr>
          <w:noProof/>
        </w:rPr>
        <w:fldChar w:fldCharType="end"/>
      </w:r>
    </w:p>
    <w:p w14:paraId="12B1B1CB" w14:textId="663088C8"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Gross Domestic Product (GDP)</w:t>
      </w:r>
      <w:r>
        <w:rPr>
          <w:noProof/>
        </w:rPr>
        <w:tab/>
      </w:r>
      <w:r>
        <w:rPr>
          <w:noProof/>
        </w:rPr>
        <w:fldChar w:fldCharType="begin"/>
      </w:r>
      <w:r>
        <w:rPr>
          <w:noProof/>
        </w:rPr>
        <w:instrText xml:space="preserve"> PAGEREF _Toc26868487 \h </w:instrText>
      </w:r>
      <w:r>
        <w:rPr>
          <w:noProof/>
        </w:rPr>
      </w:r>
      <w:r>
        <w:rPr>
          <w:noProof/>
        </w:rPr>
        <w:fldChar w:fldCharType="separate"/>
      </w:r>
      <w:r w:rsidR="00F977BD">
        <w:rPr>
          <w:noProof/>
        </w:rPr>
        <w:t>16</w:t>
      </w:r>
      <w:r>
        <w:rPr>
          <w:noProof/>
        </w:rPr>
        <w:fldChar w:fldCharType="end"/>
      </w:r>
    </w:p>
    <w:p w14:paraId="45FE633B" w14:textId="5DCFE6A2"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Regional share of Gross Domestic Product (GDPS)</w:t>
      </w:r>
      <w:r>
        <w:rPr>
          <w:noProof/>
        </w:rPr>
        <w:tab/>
      </w:r>
      <w:r>
        <w:rPr>
          <w:noProof/>
        </w:rPr>
        <w:fldChar w:fldCharType="begin"/>
      </w:r>
      <w:r>
        <w:rPr>
          <w:noProof/>
        </w:rPr>
        <w:instrText xml:space="preserve"> PAGEREF _Toc26868488 \h </w:instrText>
      </w:r>
      <w:r>
        <w:rPr>
          <w:noProof/>
        </w:rPr>
      </w:r>
      <w:r>
        <w:rPr>
          <w:noProof/>
        </w:rPr>
        <w:fldChar w:fldCharType="separate"/>
      </w:r>
      <w:r w:rsidR="00F977BD">
        <w:rPr>
          <w:noProof/>
        </w:rPr>
        <w:t>16</w:t>
      </w:r>
      <w:r>
        <w:rPr>
          <w:noProof/>
        </w:rPr>
        <w:fldChar w:fldCharType="end"/>
      </w:r>
    </w:p>
    <w:p w14:paraId="4B31A7E6" w14:textId="3D6CDFEF" w:rsidR="00F03120" w:rsidRDefault="00F03120">
      <w:pPr>
        <w:pStyle w:val="TOC3"/>
        <w:rPr>
          <w:rFonts w:asciiTheme="minorHAnsi" w:eastAsiaTheme="minorEastAsia" w:hAnsiTheme="minorHAnsi" w:cstheme="minorBidi"/>
          <w:noProof/>
          <w:color w:val="auto"/>
          <w:bdr w:val="none" w:sz="0" w:space="0" w:color="auto"/>
          <w14:textOutline w14:w="0" w14:cap="rnd" w14:cmpd="sng" w14:algn="ctr">
            <w14:noFill/>
            <w14:prstDash w14:val="solid"/>
            <w14:bevel/>
          </w14:textOutline>
        </w:rPr>
      </w:pPr>
      <w:r w:rsidRPr="004A4AE3">
        <w:rPr>
          <w:rFonts w:eastAsia="Arial Unicode MS" w:cs="Arial Unicode MS"/>
          <w:noProof/>
          <w:lang w:val="en-GB"/>
        </w:rPr>
        <w:t>Weighted average of region’s Human Development Index (HDI)</w:t>
      </w:r>
      <w:r>
        <w:rPr>
          <w:noProof/>
        </w:rPr>
        <w:tab/>
      </w:r>
      <w:r>
        <w:rPr>
          <w:noProof/>
        </w:rPr>
        <w:fldChar w:fldCharType="begin"/>
      </w:r>
      <w:r>
        <w:rPr>
          <w:noProof/>
        </w:rPr>
        <w:instrText xml:space="preserve"> PAGEREF _Toc26868489 \h </w:instrText>
      </w:r>
      <w:r>
        <w:rPr>
          <w:noProof/>
        </w:rPr>
      </w:r>
      <w:r>
        <w:rPr>
          <w:noProof/>
        </w:rPr>
        <w:fldChar w:fldCharType="separate"/>
      </w:r>
      <w:r w:rsidR="00F977BD">
        <w:rPr>
          <w:noProof/>
        </w:rPr>
        <w:t>16</w:t>
      </w:r>
      <w:r>
        <w:rPr>
          <w:noProof/>
        </w:rPr>
        <w:fldChar w:fldCharType="end"/>
      </w:r>
    </w:p>
    <w:p w14:paraId="6683283E" w14:textId="25F2992E" w:rsidR="00327590" w:rsidRDefault="006C5AE2" w:rsidP="00F15BB5">
      <w:pPr>
        <w:pStyle w:val="Body"/>
        <w:rPr>
          <w:lang w:val="en-GB"/>
        </w:rPr>
      </w:pPr>
      <w:r w:rsidRPr="009B2C31">
        <w:rPr>
          <w:lang w:val="en-GB"/>
        </w:rPr>
        <w:fldChar w:fldCharType="end"/>
      </w:r>
    </w:p>
    <w:p w14:paraId="66EB4250" w14:textId="42ACD41E" w:rsidR="00F03120" w:rsidRDefault="00F03120" w:rsidP="00F15BB5">
      <w:pPr>
        <w:pStyle w:val="Body"/>
        <w:rPr>
          <w:lang w:val="en-GB"/>
        </w:rPr>
      </w:pPr>
    </w:p>
    <w:p w14:paraId="7B525DC8" w14:textId="11301622" w:rsidR="006C27D0" w:rsidRDefault="006C27D0" w:rsidP="00F15BB5">
      <w:pPr>
        <w:pStyle w:val="Body"/>
        <w:rPr>
          <w:lang w:val="en-GB"/>
        </w:rPr>
      </w:pPr>
    </w:p>
    <w:p w14:paraId="7CCDD729" w14:textId="77777777" w:rsidR="006C27D0" w:rsidRPr="009B2C31" w:rsidRDefault="006C27D0" w:rsidP="00F15BB5">
      <w:pPr>
        <w:pStyle w:val="Body"/>
        <w:rPr>
          <w:lang w:val="en-GB"/>
        </w:rPr>
      </w:pPr>
    </w:p>
    <w:p w14:paraId="50ABCFF4" w14:textId="77777777" w:rsidR="00327590" w:rsidRPr="009B2C31" w:rsidRDefault="006C5AE2">
      <w:pPr>
        <w:pStyle w:val="Heading"/>
        <w:rPr>
          <w:lang w:val="en-GB"/>
        </w:rPr>
      </w:pPr>
      <w:bookmarkStart w:id="0" w:name="_Toc26868463"/>
      <w:r w:rsidRPr="009B2C31">
        <w:rPr>
          <w:rFonts w:eastAsia="Arial Unicode MS" w:cs="Arial Unicode MS"/>
          <w:lang w:val="en-GB"/>
        </w:rPr>
        <w:lastRenderedPageBreak/>
        <w:t>Terms of Use</w:t>
      </w:r>
      <w:bookmarkEnd w:id="0"/>
    </w:p>
    <w:p w14:paraId="6A55A006" w14:textId="77777777" w:rsidR="00327590" w:rsidRPr="009B2C31" w:rsidRDefault="00327590">
      <w:pPr>
        <w:pStyle w:val="Body"/>
        <w:rPr>
          <w:lang w:val="en-GB"/>
        </w:rPr>
      </w:pPr>
    </w:p>
    <w:p w14:paraId="137011BC" w14:textId="5096ECA1" w:rsidR="00327590" w:rsidRPr="009B2C31" w:rsidRDefault="006C5AE2">
      <w:pPr>
        <w:pStyle w:val="Body"/>
        <w:rPr>
          <w:lang w:val="en-GB"/>
        </w:rPr>
      </w:pPr>
      <w:r w:rsidRPr="009B2C31">
        <w:rPr>
          <w:lang w:val="en-GB"/>
        </w:rPr>
        <w:t>RIKS is a web-based information and learning platform on regional integration processes worldwide.</w:t>
      </w:r>
    </w:p>
    <w:p w14:paraId="4D650DF9" w14:textId="77777777" w:rsidR="00327590" w:rsidRPr="009B2C31" w:rsidRDefault="00327590">
      <w:pPr>
        <w:pStyle w:val="Body"/>
        <w:rPr>
          <w:lang w:val="en-GB"/>
        </w:rPr>
      </w:pPr>
    </w:p>
    <w:p w14:paraId="38D5D788" w14:textId="4900BD85" w:rsidR="00327590" w:rsidRPr="009B2C31" w:rsidRDefault="006C5AE2">
      <w:pPr>
        <w:pStyle w:val="Body"/>
        <w:rPr>
          <w:lang w:val="en-GB"/>
        </w:rPr>
      </w:pPr>
      <w:r w:rsidRPr="009B2C31">
        <w:rPr>
          <w:lang w:val="en-GB"/>
        </w:rPr>
        <w:t>Data contained in RIKS, even if calculated</w:t>
      </w:r>
      <w:r w:rsidR="009B2C31" w:rsidRPr="009B2C31">
        <w:rPr>
          <w:lang w:val="en-GB"/>
        </w:rPr>
        <w:t xml:space="preserve"> </w:t>
      </w:r>
      <w:r w:rsidRPr="009B2C31">
        <w:rPr>
          <w:lang w:val="en-GB"/>
        </w:rPr>
        <w:t>bas</w:t>
      </w:r>
      <w:r w:rsidR="008A1F2D">
        <w:rPr>
          <w:lang w:val="en-GB"/>
        </w:rPr>
        <w:t>ed</w:t>
      </w:r>
      <w:r w:rsidRPr="009B2C31">
        <w:rPr>
          <w:lang w:val="en-GB"/>
        </w:rPr>
        <w:t xml:space="preserve"> o</w:t>
      </w:r>
      <w:r w:rsidR="009B2C31" w:rsidRPr="009B2C31">
        <w:rPr>
          <w:lang w:val="en-GB"/>
        </w:rPr>
        <w:t>n</w:t>
      </w:r>
      <w:r w:rsidRPr="009B2C31">
        <w:rPr>
          <w:lang w:val="en-GB"/>
        </w:rPr>
        <w:t xml:space="preserve"> United Nations (UN) data and other official sources, are not official statistics from the UN, United Nations University (UNU), regional organizations, or </w:t>
      </w:r>
      <w:r w:rsidR="009B2C31" w:rsidRPr="009B2C31">
        <w:rPr>
          <w:lang w:val="en-GB"/>
        </w:rPr>
        <w:t xml:space="preserve">the </w:t>
      </w:r>
      <w:r w:rsidRPr="009B2C31">
        <w:rPr>
          <w:lang w:val="en-GB"/>
        </w:rPr>
        <w:t>UN Member States.</w:t>
      </w:r>
    </w:p>
    <w:p w14:paraId="7EBA6095" w14:textId="77777777" w:rsidR="00327590" w:rsidRPr="009B2C31" w:rsidRDefault="00327590">
      <w:pPr>
        <w:pStyle w:val="Body"/>
        <w:rPr>
          <w:lang w:val="en-GB"/>
        </w:rPr>
      </w:pPr>
    </w:p>
    <w:p w14:paraId="4F182EB6" w14:textId="01574B6B" w:rsidR="00327590" w:rsidRPr="009B2C31" w:rsidRDefault="006C5AE2">
      <w:pPr>
        <w:pStyle w:val="Body"/>
        <w:rPr>
          <w:lang w:val="en-GB"/>
        </w:rPr>
      </w:pPr>
      <w:r w:rsidRPr="1F2494D3">
        <w:rPr>
          <w:lang w:val="en-GB"/>
        </w:rPr>
        <w:t xml:space="preserve">Primary information is carefully gathered, processed and presented, with indication </w:t>
      </w:r>
      <w:r w:rsidR="009B2C31" w:rsidRPr="1F2494D3">
        <w:rPr>
          <w:lang w:val="en-GB"/>
        </w:rPr>
        <w:t xml:space="preserve">of the </w:t>
      </w:r>
      <w:r w:rsidRPr="1F2494D3">
        <w:rPr>
          <w:lang w:val="en-GB"/>
        </w:rPr>
        <w:t>source</w:t>
      </w:r>
      <w:r w:rsidR="00411E9D" w:rsidRPr="1F2494D3">
        <w:rPr>
          <w:lang w:val="en-GB"/>
        </w:rPr>
        <w:t>s</w:t>
      </w:r>
      <w:r w:rsidRPr="1F2494D3">
        <w:rPr>
          <w:lang w:val="en-GB"/>
        </w:rPr>
        <w:t>. Any errors and omission</w:t>
      </w:r>
      <w:r w:rsidR="250FF20F" w:rsidRPr="1F2494D3">
        <w:rPr>
          <w:lang w:val="en-GB"/>
        </w:rPr>
        <w:t>s</w:t>
      </w:r>
      <w:r w:rsidRPr="1F2494D3">
        <w:rPr>
          <w:lang w:val="en-GB"/>
        </w:rPr>
        <w:t xml:space="preserve"> that are not already present in the primary data are the sole responsibility of the builders of the system. Users are encouraged to notify the builders if they observe or suspect any anomalies so that they can be rectified</w:t>
      </w:r>
      <w:r w:rsidR="000038ED">
        <w:rPr>
          <w:lang w:val="en-GB"/>
        </w:rPr>
        <w:t xml:space="preserve"> by sending an email to </w:t>
      </w:r>
      <w:hyperlink r:id="rId9" w:history="1">
        <w:r w:rsidR="000038ED" w:rsidRPr="009C76CC">
          <w:rPr>
            <w:rStyle w:val="Hyperlink"/>
            <w:lang w:val="en-GB"/>
          </w:rPr>
          <w:t>riks@cris.unu.edu</w:t>
        </w:r>
      </w:hyperlink>
      <w:r w:rsidR="000038ED">
        <w:rPr>
          <w:lang w:val="en-GB"/>
        </w:rPr>
        <w:t xml:space="preserve">. </w:t>
      </w:r>
    </w:p>
    <w:p w14:paraId="6DC4DC3F" w14:textId="77777777" w:rsidR="00327590" w:rsidRPr="009B2C31" w:rsidRDefault="00327590">
      <w:pPr>
        <w:pStyle w:val="Body"/>
        <w:rPr>
          <w:lang w:val="en-GB"/>
        </w:rPr>
      </w:pPr>
    </w:p>
    <w:p w14:paraId="34425ED0" w14:textId="35136E55" w:rsidR="00327590" w:rsidRPr="009B2C31" w:rsidRDefault="006C5AE2">
      <w:pPr>
        <w:pStyle w:val="Body"/>
        <w:rPr>
          <w:lang w:val="en-GB"/>
        </w:rPr>
      </w:pPr>
      <w:r w:rsidRPr="009B2C31">
        <w:rPr>
          <w:lang w:val="en-GB"/>
        </w:rPr>
        <w:t xml:space="preserve">The data of organisation </w:t>
      </w:r>
      <w:r w:rsidR="009B2C31" w:rsidRPr="009B2C31">
        <w:rPr>
          <w:lang w:val="en-GB"/>
        </w:rPr>
        <w:t>members and the i</w:t>
      </w:r>
      <w:r w:rsidRPr="009B2C31">
        <w:rPr>
          <w:lang w:val="en-GB"/>
        </w:rPr>
        <w:t>ndicator</w:t>
      </w:r>
      <w:r w:rsidR="009B2C31" w:rsidRPr="009B2C31">
        <w:rPr>
          <w:lang w:val="en-GB"/>
        </w:rPr>
        <w:t>s of integration</w:t>
      </w:r>
      <w:r w:rsidRPr="009B2C31">
        <w:rPr>
          <w:lang w:val="en-GB"/>
        </w:rPr>
        <w:t xml:space="preserve"> can be viewed through a web</w:t>
      </w:r>
      <w:r w:rsidR="009B2C31">
        <w:rPr>
          <w:lang w:val="en-GB"/>
        </w:rPr>
        <w:t xml:space="preserve"> </w:t>
      </w:r>
      <w:r w:rsidRPr="009B2C31">
        <w:rPr>
          <w:lang w:val="en-GB"/>
        </w:rPr>
        <w:t>browser or as a comma</w:t>
      </w:r>
      <w:r w:rsidR="009B2C31">
        <w:rPr>
          <w:lang w:val="en-GB"/>
        </w:rPr>
        <w:t>-</w:t>
      </w:r>
      <w:r w:rsidRPr="009B2C31">
        <w:rPr>
          <w:lang w:val="en-GB"/>
        </w:rPr>
        <w:t>separated file (.csv). Tables and images are rendered on</w:t>
      </w:r>
      <w:r w:rsidR="009B2C31">
        <w:rPr>
          <w:lang w:val="en-GB"/>
        </w:rPr>
        <w:t>-</w:t>
      </w:r>
      <w:r w:rsidRPr="009B2C31">
        <w:rPr>
          <w:lang w:val="en-GB"/>
        </w:rPr>
        <w:t>demand</w:t>
      </w:r>
      <w:r w:rsidR="009B2C31">
        <w:rPr>
          <w:lang w:val="en-GB"/>
        </w:rPr>
        <w:t xml:space="preserve">, meaning that </w:t>
      </w:r>
      <w:r w:rsidRPr="009B2C31">
        <w:rPr>
          <w:lang w:val="en-GB"/>
        </w:rPr>
        <w:t xml:space="preserve">they always represent the latest data available </w:t>
      </w:r>
      <w:r w:rsidR="009B2C31">
        <w:rPr>
          <w:lang w:val="en-GB"/>
        </w:rPr>
        <w:t>on</w:t>
      </w:r>
      <w:r w:rsidRPr="009B2C31">
        <w:rPr>
          <w:lang w:val="en-GB"/>
        </w:rPr>
        <w:t xml:space="preserve"> </w:t>
      </w:r>
      <w:r w:rsidR="00F12FEA">
        <w:rPr>
          <w:lang w:val="en-GB"/>
        </w:rPr>
        <w:t>the platform</w:t>
      </w:r>
      <w:r w:rsidRPr="009B2C31">
        <w:rPr>
          <w:lang w:val="en-GB"/>
        </w:rPr>
        <w:t>.</w:t>
      </w:r>
    </w:p>
    <w:p w14:paraId="713C2A33" w14:textId="77777777" w:rsidR="00327590" w:rsidRPr="009B2C31" w:rsidRDefault="00327590">
      <w:pPr>
        <w:pStyle w:val="Body"/>
        <w:rPr>
          <w:lang w:val="en-GB"/>
        </w:rPr>
      </w:pPr>
    </w:p>
    <w:p w14:paraId="2C2BE229" w14:textId="77777777" w:rsidR="00327590" w:rsidRPr="009B2C31" w:rsidRDefault="006C5AE2">
      <w:pPr>
        <w:pStyle w:val="Body"/>
        <w:rPr>
          <w:lang w:val="en-GB"/>
        </w:rPr>
      </w:pPr>
      <w:r w:rsidRPr="009B2C31">
        <w:rPr>
          <w:lang w:val="en-GB"/>
        </w:rPr>
        <w:t xml:space="preserve">When using data from RIKS in publications, please include the following reference: </w:t>
      </w:r>
    </w:p>
    <w:p w14:paraId="058894BC" w14:textId="151C05B4" w:rsidR="000038ED" w:rsidRPr="000038ED" w:rsidRDefault="006C5AE2">
      <w:pPr>
        <w:pStyle w:val="Body"/>
      </w:pPr>
      <w:r w:rsidRPr="009B2C31">
        <w:rPr>
          <w:lang w:val="en-GB"/>
        </w:rPr>
        <w:t xml:space="preserve">UNU-CRIS (2019), Regional Integration Knowledge System (RIKS), </w:t>
      </w:r>
      <w:hyperlink r:id="rId10" w:history="1">
        <w:r w:rsidR="000038ED" w:rsidRPr="009C76CC">
          <w:rPr>
            <w:rStyle w:val="Hyperlink"/>
            <w:lang w:val="en-GB"/>
          </w:rPr>
          <w:t>www.</w:t>
        </w:r>
        <w:r w:rsidR="000038ED" w:rsidRPr="009C76CC">
          <w:rPr>
            <w:rStyle w:val="Hyperlink"/>
          </w:rPr>
          <w:t>riks.cris.unu.edu</w:t>
        </w:r>
      </w:hyperlink>
      <w:r w:rsidR="000038ED">
        <w:t xml:space="preserve"> </w:t>
      </w:r>
    </w:p>
    <w:p w14:paraId="2A900DA5" w14:textId="20AB90E9" w:rsidR="00327590" w:rsidRPr="009B2C31" w:rsidRDefault="006C5AE2">
      <w:pPr>
        <w:pStyle w:val="Body"/>
        <w:rPr>
          <w:lang w:val="en-GB"/>
        </w:rPr>
      </w:pPr>
      <w:r w:rsidRPr="009B2C31">
        <w:rPr>
          <w:rFonts w:ascii="Arial Unicode MS" w:hAnsi="Arial Unicode MS"/>
          <w:lang w:val="en-GB"/>
        </w:rPr>
        <w:br w:type="page"/>
      </w:r>
    </w:p>
    <w:p w14:paraId="7368491B" w14:textId="77777777" w:rsidR="00327590" w:rsidRPr="009B2C31" w:rsidRDefault="006C5AE2">
      <w:pPr>
        <w:pStyle w:val="Heading"/>
        <w:rPr>
          <w:lang w:val="en-GB"/>
        </w:rPr>
      </w:pPr>
      <w:bookmarkStart w:id="1" w:name="_Toc26868464"/>
      <w:r w:rsidRPr="009B2C31">
        <w:rPr>
          <w:rFonts w:eastAsia="Arial Unicode MS" w:cs="Arial Unicode MS"/>
          <w:lang w:val="en-GB"/>
        </w:rPr>
        <w:lastRenderedPageBreak/>
        <w:t>Introduction</w:t>
      </w:r>
      <w:bookmarkEnd w:id="1"/>
    </w:p>
    <w:p w14:paraId="0F10BF63" w14:textId="77777777" w:rsidR="006C27D0" w:rsidRDefault="006C27D0">
      <w:pPr>
        <w:pStyle w:val="Body"/>
        <w:rPr>
          <w:lang w:val="en-GB"/>
        </w:rPr>
      </w:pPr>
    </w:p>
    <w:p w14:paraId="1A728172" w14:textId="108B023F" w:rsidR="00327590" w:rsidRPr="009B2C31" w:rsidRDefault="006C5AE2">
      <w:pPr>
        <w:pStyle w:val="Body"/>
        <w:rPr>
          <w:lang w:val="en-GB"/>
        </w:rPr>
      </w:pPr>
      <w:r w:rsidRPr="009B2C31">
        <w:rPr>
          <w:lang w:val="en-GB"/>
        </w:rPr>
        <w:t>This document describes the Regional Integration Knowledge System (RIKS). It provides guidelines on the use of the data and explains the methods and sources used to generate the information</w:t>
      </w:r>
      <w:r w:rsidR="008A1F2D">
        <w:rPr>
          <w:lang w:val="en-GB"/>
        </w:rPr>
        <w:t xml:space="preserve"> presented</w:t>
      </w:r>
      <w:r w:rsidRPr="009B2C31">
        <w:rPr>
          <w:lang w:val="en-GB"/>
        </w:rPr>
        <w:t xml:space="preserve">. </w:t>
      </w:r>
    </w:p>
    <w:p w14:paraId="35DCBDC9" w14:textId="77777777" w:rsidR="00327590" w:rsidRPr="009B2C31" w:rsidRDefault="00327590">
      <w:pPr>
        <w:pStyle w:val="Body"/>
        <w:rPr>
          <w:lang w:val="en-GB"/>
        </w:rPr>
      </w:pPr>
    </w:p>
    <w:p w14:paraId="70698845" w14:textId="7AC1E954" w:rsidR="00327590" w:rsidRPr="009B2C31" w:rsidRDefault="006C5AE2">
      <w:pPr>
        <w:pStyle w:val="Body"/>
        <w:rPr>
          <w:lang w:val="en-GB"/>
        </w:rPr>
      </w:pPr>
      <w:r w:rsidRPr="009B2C31">
        <w:rPr>
          <w:lang w:val="en-GB"/>
        </w:rPr>
        <w:t>RIKS was launched as an information platform of the membership of regional organisations and indicators of regional integration in 2008 at the</w:t>
      </w:r>
      <w:r w:rsidR="008A1F2D">
        <w:rPr>
          <w:lang w:val="en-GB"/>
        </w:rPr>
        <w:t xml:space="preserve"> United</w:t>
      </w:r>
      <w:r w:rsidRPr="009B2C31">
        <w:rPr>
          <w:lang w:val="en-GB"/>
        </w:rPr>
        <w:t xml:space="preserve"> </w:t>
      </w:r>
      <w:r w:rsidR="008A1F2D">
        <w:rPr>
          <w:lang w:val="en-GB"/>
        </w:rPr>
        <w:t xml:space="preserve">Nations University </w:t>
      </w:r>
      <w:r w:rsidRPr="009B2C31">
        <w:rPr>
          <w:lang w:val="en-GB"/>
        </w:rPr>
        <w:t xml:space="preserve">Institute </w:t>
      </w:r>
      <w:r w:rsidR="00411E9D">
        <w:rPr>
          <w:lang w:val="en-GB"/>
        </w:rPr>
        <w:t>on</w:t>
      </w:r>
      <w:r w:rsidRPr="009B2C31">
        <w:rPr>
          <w:lang w:val="en-GB"/>
        </w:rPr>
        <w:t xml:space="preserve"> Comparative Regional Integration Studies (UNU-CRIS). The updated version of RIKS that </w:t>
      </w:r>
      <w:r w:rsidR="008831D0">
        <w:rPr>
          <w:lang w:val="en-GB"/>
        </w:rPr>
        <w:t>is</w:t>
      </w:r>
      <w:r w:rsidR="008831D0" w:rsidRPr="009B2C31">
        <w:rPr>
          <w:lang w:val="en-GB"/>
        </w:rPr>
        <w:t xml:space="preserve"> </w:t>
      </w:r>
      <w:r w:rsidRPr="009B2C31">
        <w:rPr>
          <w:lang w:val="en-GB"/>
        </w:rPr>
        <w:t xml:space="preserve">publicly available </w:t>
      </w:r>
      <w:r w:rsidR="008831D0">
        <w:rPr>
          <w:lang w:val="en-GB"/>
        </w:rPr>
        <w:t xml:space="preserve">as of </w:t>
      </w:r>
      <w:r w:rsidR="008A1F2D">
        <w:rPr>
          <w:lang w:val="en-GB"/>
        </w:rPr>
        <w:t>2020</w:t>
      </w:r>
      <w:r w:rsidRPr="009B2C31">
        <w:rPr>
          <w:lang w:val="en-GB"/>
        </w:rPr>
        <w:t xml:space="preserve"> extends the original database in the following way</w:t>
      </w:r>
      <w:r w:rsidR="008831D0">
        <w:rPr>
          <w:lang w:val="en-GB"/>
        </w:rPr>
        <w:t>s</w:t>
      </w:r>
      <w:r w:rsidRPr="009B2C31">
        <w:rPr>
          <w:lang w:val="en-GB"/>
        </w:rPr>
        <w:t>:</w:t>
      </w:r>
    </w:p>
    <w:p w14:paraId="1B9DA2B9" w14:textId="2DF1CF24" w:rsidR="00327590" w:rsidRPr="009B2C31" w:rsidRDefault="005924AC">
      <w:pPr>
        <w:pStyle w:val="Body"/>
        <w:numPr>
          <w:ilvl w:val="0"/>
          <w:numId w:val="2"/>
        </w:numPr>
        <w:rPr>
          <w:lang w:val="en-GB"/>
        </w:rPr>
      </w:pPr>
      <w:r>
        <w:rPr>
          <w:lang w:val="en-GB"/>
        </w:rPr>
        <w:t>150</w:t>
      </w:r>
      <w:r w:rsidR="006C5AE2" w:rsidRPr="009B2C31">
        <w:rPr>
          <w:lang w:val="en-GB"/>
        </w:rPr>
        <w:t xml:space="preserve"> regional organisations are included instead of the original 57;</w:t>
      </w:r>
    </w:p>
    <w:p w14:paraId="09785D2A" w14:textId="73D5B014" w:rsidR="00327590" w:rsidRPr="009B2C31" w:rsidRDefault="006C5AE2">
      <w:pPr>
        <w:pStyle w:val="Body"/>
        <w:numPr>
          <w:ilvl w:val="0"/>
          <w:numId w:val="2"/>
        </w:numPr>
        <w:rPr>
          <w:lang w:val="en-GB"/>
        </w:rPr>
      </w:pPr>
      <w:r w:rsidRPr="1F2494D3">
        <w:rPr>
          <w:lang w:val="en-GB"/>
        </w:rPr>
        <w:t xml:space="preserve">regional membership of countries is provided </w:t>
      </w:r>
      <w:r w:rsidR="008831D0" w:rsidRPr="1F2494D3">
        <w:rPr>
          <w:lang w:val="en-GB"/>
        </w:rPr>
        <w:t xml:space="preserve">on </w:t>
      </w:r>
      <w:r w:rsidRPr="1F2494D3">
        <w:rPr>
          <w:lang w:val="en-GB"/>
        </w:rPr>
        <w:t>an annual basis since the inception of the organisation</w:t>
      </w:r>
      <w:r w:rsidR="008831D0" w:rsidRPr="1F2494D3">
        <w:rPr>
          <w:lang w:val="en-GB"/>
        </w:rPr>
        <w:t>, as opposed to</w:t>
      </w:r>
      <w:r w:rsidRPr="1F2494D3">
        <w:rPr>
          <w:lang w:val="en-GB"/>
        </w:rPr>
        <w:t xml:space="preserve"> the latest known membership composition;</w:t>
      </w:r>
    </w:p>
    <w:p w14:paraId="699AD272" w14:textId="77777777" w:rsidR="00327590" w:rsidRPr="009B2C31" w:rsidRDefault="006C5AE2">
      <w:pPr>
        <w:pStyle w:val="Body"/>
        <w:numPr>
          <w:ilvl w:val="0"/>
          <w:numId w:val="2"/>
        </w:numPr>
        <w:rPr>
          <w:lang w:val="en-GB"/>
        </w:rPr>
      </w:pPr>
      <w:r w:rsidRPr="009B2C31">
        <w:rPr>
          <w:lang w:val="en-GB"/>
        </w:rPr>
        <w:t xml:space="preserve">treaty texts cover all the founding agreements of the organisations and their </w:t>
      </w:r>
      <w:r w:rsidR="00411E9D">
        <w:rPr>
          <w:lang w:val="en-GB"/>
        </w:rPr>
        <w:t>most significant</w:t>
      </w:r>
      <w:r w:rsidRPr="009B2C31">
        <w:rPr>
          <w:lang w:val="en-GB"/>
        </w:rPr>
        <w:t xml:space="preserve"> institutional changes;</w:t>
      </w:r>
    </w:p>
    <w:p w14:paraId="73885679" w14:textId="769CEAE7" w:rsidR="00327590" w:rsidRPr="009B2C31" w:rsidRDefault="006C5AE2">
      <w:pPr>
        <w:pStyle w:val="Body"/>
        <w:numPr>
          <w:ilvl w:val="0"/>
          <w:numId w:val="2"/>
        </w:numPr>
        <w:rPr>
          <w:lang w:val="en-GB"/>
        </w:rPr>
      </w:pPr>
      <w:r w:rsidRPr="009B2C31">
        <w:rPr>
          <w:lang w:val="en-GB"/>
        </w:rPr>
        <w:t xml:space="preserve">the indicators of regional integration cover the period since 1960 (conditional upon data availability) and </w:t>
      </w:r>
      <w:r w:rsidR="005924AC">
        <w:rPr>
          <w:lang w:val="en-GB"/>
        </w:rPr>
        <w:t xml:space="preserve">have been expanded to </w:t>
      </w:r>
      <w:r w:rsidRPr="009B2C31">
        <w:rPr>
          <w:lang w:val="en-GB"/>
        </w:rPr>
        <w:t>include migration and foreign direct investment</w:t>
      </w:r>
      <w:r w:rsidR="005924AC">
        <w:rPr>
          <w:lang w:val="en-GB"/>
        </w:rPr>
        <w:t xml:space="preserve"> in addition to trade.</w:t>
      </w:r>
      <w:r w:rsidRPr="009B2C31">
        <w:rPr>
          <w:rFonts w:ascii="Arial Unicode MS" w:hAnsi="Arial Unicode MS"/>
          <w:lang w:val="en-GB"/>
        </w:rPr>
        <w:br w:type="page"/>
      </w:r>
    </w:p>
    <w:p w14:paraId="506A51D9" w14:textId="77777777" w:rsidR="00327590" w:rsidRPr="009B2C31" w:rsidRDefault="006C5AE2">
      <w:pPr>
        <w:pStyle w:val="Heading"/>
        <w:rPr>
          <w:lang w:val="en-GB"/>
        </w:rPr>
      </w:pPr>
      <w:bookmarkStart w:id="2" w:name="_Toc26868465"/>
      <w:r w:rsidRPr="009B2C31">
        <w:rPr>
          <w:rFonts w:eastAsia="Arial Unicode MS" w:cs="Arial Unicode MS"/>
          <w:lang w:val="en-GB"/>
        </w:rPr>
        <w:lastRenderedPageBreak/>
        <w:t>Organization</w:t>
      </w:r>
      <w:bookmarkEnd w:id="2"/>
    </w:p>
    <w:p w14:paraId="19D2CF45" w14:textId="77777777" w:rsidR="00327590" w:rsidRPr="009B2C31" w:rsidRDefault="00327590">
      <w:pPr>
        <w:pStyle w:val="Body"/>
        <w:rPr>
          <w:lang w:val="en-GB"/>
        </w:rPr>
      </w:pPr>
    </w:p>
    <w:p w14:paraId="3B3C4DAC" w14:textId="77777777" w:rsidR="00327590" w:rsidRPr="009B2C31" w:rsidRDefault="006C5AE2">
      <w:pPr>
        <w:pStyle w:val="Body"/>
        <w:rPr>
          <w:lang w:val="en-GB"/>
        </w:rPr>
      </w:pPr>
      <w:r w:rsidRPr="009B2C31">
        <w:rPr>
          <w:lang w:val="en-GB"/>
        </w:rPr>
        <w:t>RIKS is organised into the following modules:</w:t>
      </w:r>
    </w:p>
    <w:p w14:paraId="137C9FB2" w14:textId="77777777" w:rsidR="00327590" w:rsidRPr="009B2C31" w:rsidRDefault="00327590">
      <w:pPr>
        <w:pStyle w:val="Body"/>
        <w:rPr>
          <w:lang w:val="en-GB"/>
        </w:rPr>
      </w:pPr>
    </w:p>
    <w:p w14:paraId="2F072BD5" w14:textId="421074E9" w:rsidR="00327590" w:rsidRPr="009B2C31" w:rsidRDefault="006C5AE2">
      <w:pPr>
        <w:pStyle w:val="Body"/>
        <w:numPr>
          <w:ilvl w:val="0"/>
          <w:numId w:val="2"/>
        </w:numPr>
        <w:rPr>
          <w:lang w:val="en-GB"/>
        </w:rPr>
      </w:pPr>
      <w:r w:rsidRPr="009B2C31">
        <w:rPr>
          <w:lang w:val="en-GB"/>
        </w:rPr>
        <w:t>Database: contains information on country membership, the founding treaty texts, statistical data and indicators on the selected 88 regional arrangements, and links to other databases. All statistical data and indicators are available</w:t>
      </w:r>
      <w:r w:rsidR="008831D0">
        <w:rPr>
          <w:lang w:val="en-GB"/>
        </w:rPr>
        <w:t>,</w:t>
      </w:r>
      <w:r w:rsidRPr="009B2C31">
        <w:rPr>
          <w:lang w:val="en-GB"/>
        </w:rPr>
        <w:t xml:space="preserve"> </w:t>
      </w:r>
      <w:r w:rsidR="008831D0">
        <w:rPr>
          <w:lang w:val="en-GB"/>
        </w:rPr>
        <w:t xml:space="preserve">including </w:t>
      </w:r>
      <w:r w:rsidRPr="009B2C31">
        <w:rPr>
          <w:lang w:val="en-GB"/>
        </w:rPr>
        <w:t xml:space="preserve">for custom regional arrangements that the user can create by choosing a set of countries. </w:t>
      </w:r>
    </w:p>
    <w:p w14:paraId="41295EC0" w14:textId="77777777" w:rsidR="00327590" w:rsidRPr="009B2C31" w:rsidRDefault="00327590">
      <w:pPr>
        <w:pStyle w:val="Body"/>
        <w:rPr>
          <w:lang w:val="en-GB"/>
        </w:rPr>
      </w:pPr>
    </w:p>
    <w:p w14:paraId="6B24B374" w14:textId="346E3223" w:rsidR="00327590" w:rsidRDefault="006C5AE2">
      <w:pPr>
        <w:pStyle w:val="Body"/>
        <w:numPr>
          <w:ilvl w:val="0"/>
          <w:numId w:val="2"/>
        </w:numPr>
        <w:rPr>
          <w:lang w:val="en-GB"/>
        </w:rPr>
      </w:pPr>
      <w:r w:rsidRPr="009B2C31">
        <w:rPr>
          <w:lang w:val="en-GB"/>
        </w:rPr>
        <w:t>Research: contains articles and papers, conference announcements, and links to specialised journals and research cent</w:t>
      </w:r>
      <w:r w:rsidR="00411E9D">
        <w:rPr>
          <w:lang w:val="en-GB"/>
        </w:rPr>
        <w:t>re</w:t>
      </w:r>
      <w:r w:rsidRPr="009B2C31">
        <w:rPr>
          <w:lang w:val="en-GB"/>
        </w:rPr>
        <w:t>s dealing with regional integration.</w:t>
      </w:r>
    </w:p>
    <w:p w14:paraId="728920B4" w14:textId="77777777" w:rsidR="005924AC" w:rsidRDefault="005924AC" w:rsidP="005924AC">
      <w:pPr>
        <w:pStyle w:val="ListParagraph"/>
        <w:rPr>
          <w:lang w:val="en-GB"/>
        </w:rPr>
      </w:pPr>
    </w:p>
    <w:p w14:paraId="02863AC4" w14:textId="474B3790" w:rsidR="005924AC" w:rsidRPr="009B2C31" w:rsidRDefault="005924AC">
      <w:pPr>
        <w:pStyle w:val="Body"/>
        <w:numPr>
          <w:ilvl w:val="0"/>
          <w:numId w:val="2"/>
        </w:numPr>
        <w:rPr>
          <w:lang w:val="en-GB"/>
        </w:rPr>
      </w:pPr>
      <w:r>
        <w:rPr>
          <w:lang w:val="en-GB"/>
        </w:rPr>
        <w:t xml:space="preserve">Education: contains a list of educational opportunities in the regional integration sphere, including training programmers, master programmes and Ph.D. programmers. </w:t>
      </w:r>
    </w:p>
    <w:p w14:paraId="79943E8D" w14:textId="77777777" w:rsidR="00327590" w:rsidRPr="009B2C31" w:rsidRDefault="00327590">
      <w:pPr>
        <w:pStyle w:val="Body"/>
        <w:rPr>
          <w:lang w:val="en-GB"/>
        </w:rPr>
      </w:pPr>
    </w:p>
    <w:p w14:paraId="4730A88C" w14:textId="77777777" w:rsidR="00327590" w:rsidRPr="009B2C31" w:rsidRDefault="006C5AE2">
      <w:pPr>
        <w:pStyle w:val="Body"/>
        <w:numPr>
          <w:ilvl w:val="0"/>
          <w:numId w:val="2"/>
        </w:numPr>
        <w:rPr>
          <w:lang w:val="en-GB"/>
        </w:rPr>
      </w:pPr>
      <w:r w:rsidRPr="009B2C31">
        <w:rPr>
          <w:lang w:val="en-GB"/>
        </w:rPr>
        <w:t>Technical Notes: contains the definition and a brief description of the indicators used, the construction of the database and the data sources.</w:t>
      </w:r>
    </w:p>
    <w:p w14:paraId="30BEF07B" w14:textId="77777777" w:rsidR="00327590" w:rsidRPr="009B2C31" w:rsidRDefault="006C5AE2">
      <w:pPr>
        <w:pStyle w:val="Default"/>
        <w:tabs>
          <w:tab w:val="left" w:pos="720"/>
        </w:tabs>
        <w:ind w:left="720" w:hanging="360"/>
        <w:jc w:val="both"/>
        <w:rPr>
          <w:lang w:val="en-GB"/>
        </w:rPr>
      </w:pPr>
      <w:r w:rsidRPr="009B2C31">
        <w:rPr>
          <w:rFonts w:ascii="Arial Unicode MS" w:eastAsia="Arial Unicode MS" w:hAnsi="Arial Unicode MS" w:cs="Arial Unicode MS"/>
          <w:sz w:val="24"/>
          <w:szCs w:val="24"/>
          <w:lang w:val="en-GB"/>
        </w:rPr>
        <w:br w:type="page"/>
      </w:r>
    </w:p>
    <w:p w14:paraId="281C6E8F" w14:textId="77777777" w:rsidR="00327590" w:rsidRPr="009B2C31" w:rsidRDefault="006C5AE2">
      <w:pPr>
        <w:pStyle w:val="Heading"/>
        <w:rPr>
          <w:lang w:val="en-GB"/>
        </w:rPr>
      </w:pPr>
      <w:bookmarkStart w:id="3" w:name="_Toc26868466"/>
      <w:r w:rsidRPr="009B2C31">
        <w:rPr>
          <w:rFonts w:eastAsia="Arial Unicode MS" w:cs="Arial Unicode MS"/>
          <w:lang w:val="en-GB"/>
        </w:rPr>
        <w:lastRenderedPageBreak/>
        <w:t>Regional Integration Arrangements</w:t>
      </w:r>
      <w:bookmarkEnd w:id="3"/>
    </w:p>
    <w:p w14:paraId="65CA2F8D" w14:textId="77777777" w:rsidR="00327590" w:rsidRPr="009B2C31" w:rsidRDefault="00327590">
      <w:pPr>
        <w:pStyle w:val="Body"/>
        <w:rPr>
          <w:lang w:val="en-GB"/>
        </w:rPr>
      </w:pPr>
    </w:p>
    <w:p w14:paraId="188F18A1" w14:textId="77777777" w:rsidR="00327590" w:rsidRPr="009B2C31" w:rsidRDefault="006C5AE2">
      <w:pPr>
        <w:pStyle w:val="Heading2"/>
        <w:rPr>
          <w:lang w:val="en-GB"/>
        </w:rPr>
      </w:pPr>
      <w:bookmarkStart w:id="4" w:name="_Toc26868467"/>
      <w:r w:rsidRPr="009B2C31">
        <w:rPr>
          <w:rFonts w:eastAsia="Arial Unicode MS" w:cs="Arial Unicode MS"/>
          <w:lang w:val="en-GB"/>
        </w:rPr>
        <w:t>Definition</w:t>
      </w:r>
      <w:bookmarkEnd w:id="4"/>
    </w:p>
    <w:p w14:paraId="44B09B40" w14:textId="77777777" w:rsidR="00327590" w:rsidRPr="009B2C31" w:rsidRDefault="00327590">
      <w:pPr>
        <w:pStyle w:val="Body"/>
        <w:rPr>
          <w:lang w:val="en-GB"/>
        </w:rPr>
      </w:pPr>
    </w:p>
    <w:p w14:paraId="4640BA05" w14:textId="59DB3AC7" w:rsidR="00327590" w:rsidRPr="009B2C31" w:rsidRDefault="006C5AE2">
      <w:pPr>
        <w:pStyle w:val="Body"/>
        <w:rPr>
          <w:lang w:val="en-GB"/>
        </w:rPr>
      </w:pPr>
      <w:r w:rsidRPr="009B2C31">
        <w:rPr>
          <w:lang w:val="en-GB"/>
        </w:rPr>
        <w:t>The list of arrangements presented in the Regional Arrangements section is not based on a single definition of regional arrangements or regional organi</w:t>
      </w:r>
      <w:r w:rsidR="008831D0">
        <w:rPr>
          <w:lang w:val="en-GB"/>
        </w:rPr>
        <w:t>s</w:t>
      </w:r>
      <w:r w:rsidRPr="009B2C31">
        <w:rPr>
          <w:lang w:val="en-GB"/>
        </w:rPr>
        <w:t>ations, but rather should be considered as an open list.</w:t>
      </w:r>
      <w:r w:rsidR="004D166B">
        <w:rPr>
          <w:lang w:val="en-GB"/>
        </w:rPr>
        <w:t xml:space="preserve"> T</w:t>
      </w:r>
      <w:r w:rsidRPr="009B2C31">
        <w:rPr>
          <w:lang w:val="en-GB"/>
        </w:rPr>
        <w:t>he non-inclusion of an arrangement or organi</w:t>
      </w:r>
      <w:r w:rsidR="008831D0">
        <w:rPr>
          <w:lang w:val="en-GB"/>
        </w:rPr>
        <w:t>s</w:t>
      </w:r>
      <w:r w:rsidRPr="009B2C31">
        <w:rPr>
          <w:lang w:val="en-GB"/>
        </w:rPr>
        <w:t xml:space="preserve">ation in this list does not imply that it is not recognized as such. </w:t>
      </w:r>
    </w:p>
    <w:p w14:paraId="3C2D2E81" w14:textId="77777777" w:rsidR="00327590" w:rsidRPr="009B2C31" w:rsidRDefault="00327590">
      <w:pPr>
        <w:pStyle w:val="Body"/>
        <w:rPr>
          <w:lang w:val="en-GB"/>
        </w:rPr>
      </w:pPr>
    </w:p>
    <w:p w14:paraId="2C5DD8CA" w14:textId="4A6ABEF5" w:rsidR="00327590" w:rsidRPr="009B2C31" w:rsidRDefault="006C5AE2">
      <w:pPr>
        <w:pStyle w:val="Body"/>
        <w:rPr>
          <w:lang w:val="en-GB"/>
        </w:rPr>
      </w:pPr>
      <w:r w:rsidRPr="009B2C31">
        <w:rPr>
          <w:lang w:val="en-GB"/>
        </w:rPr>
        <w:t xml:space="preserve">The criteria to select the regional arrangements included in RIKS </w:t>
      </w:r>
      <w:r w:rsidR="008831D0">
        <w:rPr>
          <w:lang w:val="en-GB"/>
        </w:rPr>
        <w:t>are as follows</w:t>
      </w:r>
      <w:r w:rsidRPr="009B2C31">
        <w:rPr>
          <w:lang w:val="en-GB"/>
        </w:rPr>
        <w:t>:</w:t>
      </w:r>
    </w:p>
    <w:p w14:paraId="275293A1" w14:textId="77777777" w:rsidR="00327590" w:rsidRPr="009B2C31" w:rsidRDefault="00327590">
      <w:pPr>
        <w:pStyle w:val="Body"/>
        <w:rPr>
          <w:lang w:val="en-GB"/>
        </w:rPr>
      </w:pPr>
    </w:p>
    <w:p w14:paraId="25F63D97" w14:textId="54677C5E" w:rsidR="00327590" w:rsidRPr="009B2C31" w:rsidRDefault="006C5AE2">
      <w:pPr>
        <w:pStyle w:val="Body"/>
        <w:numPr>
          <w:ilvl w:val="0"/>
          <w:numId w:val="4"/>
        </w:numPr>
        <w:rPr>
          <w:lang w:val="en-GB"/>
        </w:rPr>
      </w:pPr>
      <w:r w:rsidRPr="009B2C31">
        <w:rPr>
          <w:lang w:val="en-GB"/>
        </w:rPr>
        <w:t>Member states belong to the same geographical sub-region or neighbouring geographical sub-regions; geographical sub-regions are those used by the United Nations Statistic Division, with arrangements such as APEC and OIC also included.</w:t>
      </w:r>
    </w:p>
    <w:p w14:paraId="72A582E0" w14:textId="211AF47F" w:rsidR="00327590" w:rsidRPr="009B2C31" w:rsidRDefault="006C5AE2">
      <w:pPr>
        <w:pStyle w:val="Body"/>
        <w:numPr>
          <w:ilvl w:val="0"/>
          <w:numId w:val="4"/>
        </w:numPr>
        <w:rPr>
          <w:lang w:val="en-GB"/>
        </w:rPr>
      </w:pPr>
      <w:r w:rsidRPr="009B2C31">
        <w:rPr>
          <w:lang w:val="en-GB"/>
        </w:rPr>
        <w:t>A minimum participation of three states.  The regional dimension taken into account in RIKS has a</w:t>
      </w:r>
      <w:r w:rsidR="00F76CBE">
        <w:rPr>
          <w:lang w:val="en-GB"/>
        </w:rPr>
        <w:t>n additional</w:t>
      </w:r>
      <w:r w:rsidRPr="009B2C31">
        <w:rPr>
          <w:lang w:val="en-GB"/>
        </w:rPr>
        <w:t xml:space="preserve"> </w:t>
      </w:r>
      <w:r w:rsidRPr="009B2C31">
        <w:rPr>
          <w:rtl/>
          <w:lang w:val="en-GB"/>
        </w:rPr>
        <w:t>“</w:t>
      </w:r>
      <w:r w:rsidRPr="009B2C31">
        <w:rPr>
          <w:lang w:val="en-GB"/>
        </w:rPr>
        <w:t>quantitative” facet, excluding from its scope of analysis bilateral organisations/arrangements (although involving two countries in the same geographical sub-region);</w:t>
      </w:r>
    </w:p>
    <w:p w14:paraId="529AADFB" w14:textId="54497B44" w:rsidR="00327590" w:rsidRPr="009B2C31" w:rsidRDefault="006C5AE2">
      <w:pPr>
        <w:pStyle w:val="Body"/>
        <w:numPr>
          <w:ilvl w:val="0"/>
          <w:numId w:val="4"/>
        </w:numPr>
        <w:rPr>
          <w:lang w:val="en-GB"/>
        </w:rPr>
      </w:pPr>
      <w:r w:rsidRPr="009B2C31">
        <w:rPr>
          <w:lang w:val="en-GB"/>
        </w:rPr>
        <w:t xml:space="preserve">Regional integration is explicitly set among the purposes </w:t>
      </w:r>
      <w:r w:rsidR="00F76CBE">
        <w:rPr>
          <w:lang w:val="en-GB"/>
        </w:rPr>
        <w:t>in the</w:t>
      </w:r>
      <w:r w:rsidRPr="009B2C31">
        <w:rPr>
          <w:lang w:val="en-GB"/>
        </w:rPr>
        <w:t xml:space="preserve"> establishment of the organisation/arrangement, as defined in treaty texts: </w:t>
      </w:r>
      <w:r w:rsidR="00F76CBE">
        <w:rPr>
          <w:lang w:val="en-GB"/>
        </w:rPr>
        <w:t xml:space="preserve">the specific focus of </w:t>
      </w:r>
      <w:r w:rsidRPr="009B2C31">
        <w:rPr>
          <w:lang w:val="en-GB"/>
        </w:rPr>
        <w:t>RIKS is on monitoring and analysing (intended) regional integration processes, and not overall cooperation among countries belonging to the same geographical sub-region(s);</w:t>
      </w:r>
    </w:p>
    <w:p w14:paraId="13115186" w14:textId="179DDC8C" w:rsidR="00327590" w:rsidRPr="009B2C31" w:rsidRDefault="006C5AE2">
      <w:pPr>
        <w:pStyle w:val="Body"/>
        <w:numPr>
          <w:ilvl w:val="0"/>
          <w:numId w:val="4"/>
        </w:numPr>
        <w:rPr>
          <w:lang w:val="en-GB"/>
        </w:rPr>
      </w:pPr>
      <w:r w:rsidRPr="009B2C31">
        <w:rPr>
          <w:lang w:val="en-GB"/>
        </w:rPr>
        <w:t xml:space="preserve">To help </w:t>
      </w:r>
      <w:r w:rsidR="00F76CBE">
        <w:rPr>
          <w:lang w:val="en-GB"/>
        </w:rPr>
        <w:t xml:space="preserve">in </w:t>
      </w:r>
      <w:r w:rsidRPr="009B2C31">
        <w:rPr>
          <w:lang w:val="en-GB"/>
        </w:rPr>
        <w:t>understand</w:t>
      </w:r>
      <w:r w:rsidR="00F76CBE">
        <w:rPr>
          <w:lang w:val="en-GB"/>
        </w:rPr>
        <w:t>ing</w:t>
      </w:r>
      <w:r w:rsidRPr="009B2C31">
        <w:rPr>
          <w:lang w:val="en-GB"/>
        </w:rPr>
        <w:t xml:space="preserve"> the dynamics and the effects of regional integration, RIKS gives information on the membership of the organisations/arrangements on an </w:t>
      </w:r>
      <w:r w:rsidRPr="009B2C31">
        <w:rPr>
          <w:b/>
          <w:bCs/>
          <w:lang w:val="en-GB"/>
        </w:rPr>
        <w:t>annual</w:t>
      </w:r>
      <w:r w:rsidRPr="009B2C31">
        <w:rPr>
          <w:lang w:val="en-GB"/>
        </w:rPr>
        <w:t xml:space="preserve"> basis since their inception. Similarly, historical organisations/arrangements at present dissolved, in particular predecessors of present existing organisations/arrangements, are </w:t>
      </w:r>
      <w:r w:rsidR="00542058">
        <w:rPr>
          <w:lang w:val="en-GB"/>
        </w:rPr>
        <w:t>also</w:t>
      </w:r>
      <w:r w:rsidR="007A1918">
        <w:rPr>
          <w:lang w:val="en-GB"/>
        </w:rPr>
        <w:t xml:space="preserve"> </w:t>
      </w:r>
      <w:r w:rsidRPr="009B2C31">
        <w:rPr>
          <w:lang w:val="en-GB"/>
        </w:rPr>
        <w:t xml:space="preserve">included in the database. </w:t>
      </w:r>
    </w:p>
    <w:p w14:paraId="1A714545" w14:textId="4EF58994" w:rsidR="00327590" w:rsidRDefault="00327590">
      <w:pPr>
        <w:pStyle w:val="Body"/>
        <w:rPr>
          <w:lang w:val="en-GB"/>
        </w:rPr>
      </w:pPr>
    </w:p>
    <w:p w14:paraId="3CABCDBB" w14:textId="2600460B" w:rsidR="006C27D0" w:rsidRDefault="006C27D0">
      <w:pPr>
        <w:pStyle w:val="Body"/>
        <w:rPr>
          <w:lang w:val="en-GB"/>
        </w:rPr>
      </w:pPr>
    </w:p>
    <w:p w14:paraId="23DC9F98" w14:textId="5AD0FCC7" w:rsidR="006C27D0" w:rsidRDefault="006C27D0">
      <w:pPr>
        <w:pStyle w:val="Body"/>
        <w:rPr>
          <w:lang w:val="en-GB"/>
        </w:rPr>
      </w:pPr>
    </w:p>
    <w:p w14:paraId="1E7E4CD1" w14:textId="77777777" w:rsidR="006C27D0" w:rsidRPr="009B2C31" w:rsidRDefault="006C27D0">
      <w:pPr>
        <w:pStyle w:val="Body"/>
        <w:rPr>
          <w:lang w:val="en-GB"/>
        </w:rPr>
      </w:pPr>
    </w:p>
    <w:p w14:paraId="067B1567" w14:textId="77777777" w:rsidR="00327590" w:rsidRPr="009B2C31" w:rsidRDefault="006C5AE2">
      <w:pPr>
        <w:pStyle w:val="Heading2"/>
        <w:rPr>
          <w:lang w:val="en-GB"/>
        </w:rPr>
      </w:pPr>
      <w:bookmarkStart w:id="5" w:name="_Toc26868468"/>
      <w:r w:rsidRPr="009B2C31">
        <w:rPr>
          <w:rFonts w:eastAsia="Arial Unicode MS" w:cs="Arial Unicode MS"/>
          <w:lang w:val="en-GB"/>
        </w:rPr>
        <w:lastRenderedPageBreak/>
        <w:t>Information</w:t>
      </w:r>
      <w:bookmarkEnd w:id="5"/>
    </w:p>
    <w:p w14:paraId="3AF0BFC6" w14:textId="77777777" w:rsidR="00327590" w:rsidRPr="009B2C31" w:rsidRDefault="00327590">
      <w:pPr>
        <w:pStyle w:val="Body"/>
        <w:rPr>
          <w:lang w:val="en-GB"/>
        </w:rPr>
      </w:pPr>
    </w:p>
    <w:p w14:paraId="40F9E0FA" w14:textId="77777777" w:rsidR="00327590" w:rsidRPr="009B2C31" w:rsidRDefault="006C5AE2">
      <w:pPr>
        <w:pStyle w:val="Body"/>
        <w:rPr>
          <w:lang w:val="en-GB"/>
        </w:rPr>
      </w:pPr>
      <w:r w:rsidRPr="009B2C31">
        <w:rPr>
          <w:lang w:val="en-GB"/>
        </w:rPr>
        <w:t>The information displayed for the different regional arrangements includes:</w:t>
      </w:r>
    </w:p>
    <w:p w14:paraId="4D38ACB0" w14:textId="77777777" w:rsidR="00327590" w:rsidRPr="009B2C31" w:rsidRDefault="00327590">
      <w:pPr>
        <w:pStyle w:val="Body"/>
        <w:rPr>
          <w:lang w:val="en-GB"/>
        </w:rPr>
      </w:pPr>
    </w:p>
    <w:p w14:paraId="1245BBEC" w14:textId="77777777" w:rsidR="00327590" w:rsidRPr="009B2C31" w:rsidRDefault="006C5AE2">
      <w:pPr>
        <w:pStyle w:val="Body"/>
        <w:numPr>
          <w:ilvl w:val="0"/>
          <w:numId w:val="4"/>
        </w:numPr>
        <w:rPr>
          <w:lang w:val="en-GB"/>
        </w:rPr>
      </w:pPr>
      <w:r w:rsidRPr="009B2C31">
        <w:rPr>
          <w:lang w:val="en-GB"/>
        </w:rPr>
        <w:t>Name and acronym of organi</w:t>
      </w:r>
      <w:r w:rsidR="004D166B">
        <w:rPr>
          <w:lang w:val="en-GB"/>
        </w:rPr>
        <w:t>s</w:t>
      </w:r>
      <w:r w:rsidRPr="009B2C31">
        <w:rPr>
          <w:lang w:val="en-GB"/>
        </w:rPr>
        <w:t>ation</w:t>
      </w:r>
    </w:p>
    <w:p w14:paraId="18471A5D" w14:textId="77777777" w:rsidR="00327590" w:rsidRPr="009B2C31" w:rsidRDefault="006C5AE2">
      <w:pPr>
        <w:pStyle w:val="Body"/>
        <w:numPr>
          <w:ilvl w:val="0"/>
          <w:numId w:val="4"/>
        </w:numPr>
        <w:rPr>
          <w:lang w:val="en-GB"/>
        </w:rPr>
      </w:pPr>
      <w:r w:rsidRPr="009B2C31">
        <w:rPr>
          <w:lang w:val="en-GB"/>
        </w:rPr>
        <w:t>Year of establishment</w:t>
      </w:r>
    </w:p>
    <w:p w14:paraId="7ACB1C27" w14:textId="77777777" w:rsidR="00327590" w:rsidRPr="009B2C31" w:rsidRDefault="006C5AE2">
      <w:pPr>
        <w:pStyle w:val="Body"/>
        <w:numPr>
          <w:ilvl w:val="0"/>
          <w:numId w:val="4"/>
        </w:numPr>
        <w:rPr>
          <w:lang w:val="en-GB"/>
        </w:rPr>
      </w:pPr>
      <w:r w:rsidRPr="009B2C31">
        <w:rPr>
          <w:lang w:val="en-GB"/>
        </w:rPr>
        <w:t>Membership information over time, according to different modalities (e.g. full membership, observer status, partner state</w:t>
      </w:r>
      <w:r w:rsidR="004D166B">
        <w:rPr>
          <w:lang w:val="en-GB"/>
        </w:rPr>
        <w:t>)</w:t>
      </w:r>
    </w:p>
    <w:p w14:paraId="5D03F11D" w14:textId="77777777" w:rsidR="00327590" w:rsidRPr="009B2C31" w:rsidRDefault="006C5AE2">
      <w:pPr>
        <w:pStyle w:val="Body"/>
        <w:numPr>
          <w:ilvl w:val="0"/>
          <w:numId w:val="4"/>
        </w:numPr>
        <w:rPr>
          <w:lang w:val="en-GB"/>
        </w:rPr>
      </w:pPr>
      <w:r w:rsidRPr="009B2C31">
        <w:rPr>
          <w:lang w:val="en-GB"/>
        </w:rPr>
        <w:t>Legal basis</w:t>
      </w:r>
    </w:p>
    <w:p w14:paraId="7B45C391" w14:textId="1A828C1C" w:rsidR="00327590" w:rsidRPr="009B2C31" w:rsidRDefault="006C5AE2">
      <w:pPr>
        <w:pStyle w:val="Body"/>
        <w:numPr>
          <w:ilvl w:val="0"/>
          <w:numId w:val="4"/>
        </w:numPr>
        <w:rPr>
          <w:lang w:val="en-GB"/>
        </w:rPr>
      </w:pPr>
      <w:r w:rsidRPr="009B2C31">
        <w:rPr>
          <w:lang w:val="en-GB"/>
        </w:rPr>
        <w:t xml:space="preserve">Link(s) to </w:t>
      </w:r>
      <w:r w:rsidR="004D166B">
        <w:rPr>
          <w:lang w:val="en-GB"/>
        </w:rPr>
        <w:t xml:space="preserve">the </w:t>
      </w:r>
      <w:r w:rsidRPr="009B2C31">
        <w:rPr>
          <w:lang w:val="en-GB"/>
        </w:rPr>
        <w:t>official homepage (</w:t>
      </w:r>
      <w:r w:rsidR="00D2431A">
        <w:rPr>
          <w:lang w:val="en-GB"/>
        </w:rPr>
        <w:t>when available</w:t>
      </w:r>
      <w:r w:rsidRPr="009B2C31">
        <w:rPr>
          <w:lang w:val="en-GB"/>
        </w:rPr>
        <w:t>)</w:t>
      </w:r>
    </w:p>
    <w:p w14:paraId="3E6C904E" w14:textId="77777777" w:rsidR="00327590" w:rsidRPr="009B2C31" w:rsidRDefault="006C5AE2">
      <w:pPr>
        <w:pStyle w:val="Body"/>
        <w:numPr>
          <w:ilvl w:val="0"/>
          <w:numId w:val="4"/>
        </w:numPr>
        <w:rPr>
          <w:lang w:val="en-GB"/>
        </w:rPr>
      </w:pPr>
      <w:r w:rsidRPr="009B2C31">
        <w:rPr>
          <w:lang w:val="en-GB"/>
        </w:rPr>
        <w:t>preceding and successor organisations (if applicable)</w:t>
      </w:r>
    </w:p>
    <w:p w14:paraId="65E8D946" w14:textId="77777777" w:rsidR="00327590" w:rsidRPr="009B2C31" w:rsidRDefault="00327590">
      <w:pPr>
        <w:pStyle w:val="Body"/>
        <w:rPr>
          <w:lang w:val="en-GB"/>
        </w:rPr>
      </w:pPr>
    </w:p>
    <w:p w14:paraId="30E44393" w14:textId="77777777" w:rsidR="00327590" w:rsidRPr="009B2C31" w:rsidRDefault="006C5AE2">
      <w:pPr>
        <w:pStyle w:val="Body"/>
        <w:rPr>
          <w:lang w:val="en-GB"/>
        </w:rPr>
      </w:pPr>
      <w:r w:rsidRPr="009B2C31">
        <w:rPr>
          <w:lang w:val="en-GB"/>
        </w:rPr>
        <w:t xml:space="preserve">The information displayed for single countries provides an overview of the regional arrangements </w:t>
      </w:r>
      <w:r w:rsidR="004D166B">
        <w:rPr>
          <w:lang w:val="en-GB"/>
        </w:rPr>
        <w:t xml:space="preserve">in which </w:t>
      </w:r>
      <w:r w:rsidRPr="009B2C31">
        <w:rPr>
          <w:lang w:val="en-GB"/>
        </w:rPr>
        <w:t>the country is involv</w:t>
      </w:r>
      <w:r w:rsidR="004D166B">
        <w:rPr>
          <w:lang w:val="en-GB"/>
        </w:rPr>
        <w:t>ed</w:t>
      </w:r>
      <w:r w:rsidRPr="009B2C31">
        <w:rPr>
          <w:lang w:val="en-GB"/>
        </w:rPr>
        <w:t>. This covers only those arrangements that are included in the regional arrangements section of RIKS.</w:t>
      </w:r>
    </w:p>
    <w:p w14:paraId="40011C85" w14:textId="77777777" w:rsidR="00327590" w:rsidRPr="009B2C31" w:rsidRDefault="00327590">
      <w:pPr>
        <w:pStyle w:val="Body"/>
        <w:rPr>
          <w:lang w:val="en-GB"/>
        </w:rPr>
      </w:pPr>
    </w:p>
    <w:p w14:paraId="05AFE40D" w14:textId="77777777" w:rsidR="00327590" w:rsidRPr="009B2C31" w:rsidRDefault="006C5AE2">
      <w:pPr>
        <w:pStyle w:val="Body"/>
        <w:rPr>
          <w:lang w:val="en-GB"/>
        </w:rPr>
      </w:pPr>
      <w:r w:rsidRPr="009B2C31">
        <w:rPr>
          <w:lang w:val="en-GB"/>
        </w:rPr>
        <w:t>Illustrative maps are available for regional arrangements.</w:t>
      </w:r>
    </w:p>
    <w:p w14:paraId="47CC7002" w14:textId="77777777" w:rsidR="00327590" w:rsidRPr="009B2C31" w:rsidRDefault="00327590">
      <w:pPr>
        <w:pStyle w:val="Body"/>
        <w:rPr>
          <w:lang w:val="en-GB"/>
        </w:rPr>
      </w:pPr>
    </w:p>
    <w:p w14:paraId="08F1D9CB" w14:textId="77777777" w:rsidR="00327590" w:rsidRPr="009B2C31" w:rsidRDefault="006C5AE2">
      <w:pPr>
        <w:pStyle w:val="Heading2"/>
        <w:rPr>
          <w:lang w:val="en-GB"/>
        </w:rPr>
      </w:pPr>
      <w:bookmarkStart w:id="6" w:name="_Toc26868469"/>
      <w:r w:rsidRPr="009B2C31">
        <w:rPr>
          <w:rFonts w:eastAsia="Arial Unicode MS" w:cs="Arial Unicode MS"/>
          <w:lang w:val="en-GB"/>
        </w:rPr>
        <w:t>Treaty texts</w:t>
      </w:r>
      <w:bookmarkEnd w:id="6"/>
    </w:p>
    <w:p w14:paraId="413CE4C9" w14:textId="77777777" w:rsidR="00327590" w:rsidRPr="009B2C31" w:rsidRDefault="00327590">
      <w:pPr>
        <w:pStyle w:val="Body"/>
        <w:rPr>
          <w:lang w:val="en-GB"/>
        </w:rPr>
      </w:pPr>
    </w:p>
    <w:p w14:paraId="5821DB05" w14:textId="77777777" w:rsidR="00327590" w:rsidRPr="009B2C31" w:rsidRDefault="006C5AE2">
      <w:pPr>
        <w:pStyle w:val="Body"/>
        <w:rPr>
          <w:lang w:val="en-GB"/>
        </w:rPr>
      </w:pPr>
      <w:r w:rsidRPr="009B2C31">
        <w:rPr>
          <w:lang w:val="en-GB"/>
        </w:rPr>
        <w:t>The collection of treaty texts includes a corpus of legal texts on which regional arrangements are built. The selection of the texts is based on:</w:t>
      </w:r>
    </w:p>
    <w:p w14:paraId="25DC2D27" w14:textId="77777777" w:rsidR="00327590" w:rsidRPr="009B2C31" w:rsidRDefault="00327590">
      <w:pPr>
        <w:pStyle w:val="Body"/>
        <w:rPr>
          <w:lang w:val="en-GB"/>
        </w:rPr>
      </w:pPr>
    </w:p>
    <w:p w14:paraId="0ABCFEF2" w14:textId="77777777" w:rsidR="00327590" w:rsidRPr="009B2C31" w:rsidRDefault="006C5AE2">
      <w:pPr>
        <w:pStyle w:val="Body"/>
        <w:numPr>
          <w:ilvl w:val="0"/>
          <w:numId w:val="4"/>
        </w:numPr>
        <w:rPr>
          <w:lang w:val="en-GB"/>
        </w:rPr>
      </w:pPr>
      <w:r w:rsidRPr="009B2C31">
        <w:rPr>
          <w:lang w:val="en-GB"/>
        </w:rPr>
        <w:t xml:space="preserve">importance of the text: the collection consists of the founding treaties of the regional organisations, as well as those implying a </w:t>
      </w:r>
      <w:r w:rsidR="004D166B">
        <w:rPr>
          <w:lang w:val="en-GB"/>
        </w:rPr>
        <w:t>significant</w:t>
      </w:r>
      <w:r w:rsidRPr="009B2C31">
        <w:rPr>
          <w:lang w:val="en-GB"/>
        </w:rPr>
        <w:t xml:space="preserve"> shift in the functioning and structure of the organisation;</w:t>
      </w:r>
    </w:p>
    <w:p w14:paraId="0F8D5239" w14:textId="77777777" w:rsidR="00327590" w:rsidRPr="009B2C31" w:rsidRDefault="006C5AE2">
      <w:pPr>
        <w:pStyle w:val="Body"/>
        <w:numPr>
          <w:ilvl w:val="0"/>
          <w:numId w:val="4"/>
        </w:numPr>
        <w:rPr>
          <w:lang w:val="en-GB"/>
        </w:rPr>
      </w:pPr>
      <w:r w:rsidRPr="009B2C31">
        <w:rPr>
          <w:lang w:val="en-GB"/>
        </w:rPr>
        <w:t>public availability of the text in electronic format.</w:t>
      </w:r>
    </w:p>
    <w:p w14:paraId="3B98130C" w14:textId="77777777" w:rsidR="00327590" w:rsidRPr="009B2C31" w:rsidRDefault="00327590">
      <w:pPr>
        <w:pStyle w:val="Body"/>
        <w:rPr>
          <w:lang w:val="en-GB"/>
        </w:rPr>
      </w:pPr>
    </w:p>
    <w:p w14:paraId="541F91FE" w14:textId="77777777" w:rsidR="00327590" w:rsidRPr="009B2C31" w:rsidRDefault="006C5AE2">
      <w:pPr>
        <w:pStyle w:val="Body"/>
        <w:rPr>
          <w:lang w:val="en-GB"/>
        </w:rPr>
      </w:pPr>
      <w:r w:rsidRPr="009B2C31">
        <w:rPr>
          <w:lang w:val="en-GB"/>
        </w:rPr>
        <w:t>Whenever possible, the texts are presented in PDF format.</w:t>
      </w:r>
    </w:p>
    <w:p w14:paraId="5A30A6EC" w14:textId="73AD8265" w:rsidR="00327590" w:rsidRDefault="00327590">
      <w:pPr>
        <w:pStyle w:val="Body"/>
        <w:rPr>
          <w:lang w:val="en-GB"/>
        </w:rPr>
      </w:pPr>
    </w:p>
    <w:p w14:paraId="62704EA8" w14:textId="77777777" w:rsidR="006C27D0" w:rsidRPr="009B2C31" w:rsidRDefault="006C27D0">
      <w:pPr>
        <w:pStyle w:val="Body"/>
        <w:rPr>
          <w:lang w:val="en-GB"/>
        </w:rPr>
      </w:pPr>
    </w:p>
    <w:p w14:paraId="178089EC" w14:textId="77777777" w:rsidR="00327590" w:rsidRPr="009B2C31" w:rsidRDefault="006C5AE2">
      <w:pPr>
        <w:pStyle w:val="Heading2"/>
        <w:rPr>
          <w:lang w:val="en-GB"/>
        </w:rPr>
      </w:pPr>
      <w:bookmarkStart w:id="7" w:name="_Toc26868470"/>
      <w:r w:rsidRPr="009B2C31">
        <w:rPr>
          <w:rFonts w:eastAsia="Arial Unicode MS" w:cs="Arial Unicode MS"/>
          <w:lang w:val="en-GB"/>
        </w:rPr>
        <w:lastRenderedPageBreak/>
        <w:t>Data Sources</w:t>
      </w:r>
      <w:bookmarkEnd w:id="7"/>
    </w:p>
    <w:p w14:paraId="3937E293" w14:textId="77777777" w:rsidR="00327590" w:rsidRPr="009B2C31" w:rsidRDefault="00327590">
      <w:pPr>
        <w:pStyle w:val="Body"/>
        <w:rPr>
          <w:lang w:val="en-GB"/>
        </w:rPr>
      </w:pPr>
    </w:p>
    <w:p w14:paraId="2FFBF1F4" w14:textId="164A5FDA" w:rsidR="00327590" w:rsidRPr="009B2C31" w:rsidRDefault="006C5AE2">
      <w:pPr>
        <w:pStyle w:val="Body"/>
        <w:rPr>
          <w:lang w:val="en-GB"/>
        </w:rPr>
      </w:pPr>
      <w:r w:rsidRPr="009B2C31">
        <w:rPr>
          <w:lang w:val="en-GB"/>
        </w:rPr>
        <w:t xml:space="preserve">Several sources were consulted in gathering membership information to control for errors, inaccuracies and missing data that characterises </w:t>
      </w:r>
      <w:r w:rsidR="007A1918">
        <w:rPr>
          <w:lang w:val="en-GB"/>
        </w:rPr>
        <w:t>each</w:t>
      </w:r>
      <w:r w:rsidRPr="009B2C31">
        <w:rPr>
          <w:lang w:val="en-GB"/>
        </w:rPr>
        <w:t xml:space="preserve"> in the following order:</w:t>
      </w:r>
    </w:p>
    <w:p w14:paraId="6F7DDB3B" w14:textId="77777777" w:rsidR="00327590" w:rsidRPr="009B2C31" w:rsidRDefault="006C5AE2">
      <w:pPr>
        <w:pStyle w:val="Body"/>
        <w:numPr>
          <w:ilvl w:val="0"/>
          <w:numId w:val="2"/>
        </w:numPr>
        <w:rPr>
          <w:lang w:val="en-GB"/>
        </w:rPr>
      </w:pPr>
      <w:r w:rsidRPr="009B2C31">
        <w:rPr>
          <w:lang w:val="en-GB"/>
        </w:rPr>
        <w:t>the official website of the organisations;</w:t>
      </w:r>
    </w:p>
    <w:p w14:paraId="4A504C1C" w14:textId="77777777" w:rsidR="00327590" w:rsidRPr="009B2C31" w:rsidRDefault="006C5AE2">
      <w:pPr>
        <w:pStyle w:val="Body"/>
        <w:numPr>
          <w:ilvl w:val="0"/>
          <w:numId w:val="2"/>
        </w:numPr>
        <w:rPr>
          <w:lang w:val="en-GB"/>
        </w:rPr>
      </w:pPr>
      <w:r w:rsidRPr="009B2C31">
        <w:rPr>
          <w:lang w:val="en-GB"/>
        </w:rPr>
        <w:t>the treaty texts (the signatory states mentioned)</w:t>
      </w:r>
    </w:p>
    <w:p w14:paraId="0584BABF" w14:textId="77777777" w:rsidR="00327590" w:rsidRPr="009B2C31" w:rsidRDefault="006C5AE2">
      <w:pPr>
        <w:pStyle w:val="Body"/>
        <w:numPr>
          <w:ilvl w:val="0"/>
          <w:numId w:val="2"/>
        </w:numPr>
        <w:rPr>
          <w:lang w:val="en-GB"/>
        </w:rPr>
      </w:pPr>
      <w:r w:rsidRPr="009B2C31">
        <w:rPr>
          <w:lang w:val="en-GB"/>
        </w:rPr>
        <w:t>the Wikipedia page of the organisations;</w:t>
      </w:r>
    </w:p>
    <w:p w14:paraId="4FFCEC6E" w14:textId="77777777" w:rsidR="00327590" w:rsidRPr="009B2C31" w:rsidRDefault="006C5AE2">
      <w:pPr>
        <w:pStyle w:val="Body"/>
        <w:numPr>
          <w:ilvl w:val="0"/>
          <w:numId w:val="2"/>
        </w:numPr>
        <w:rPr>
          <w:lang w:val="en-GB"/>
        </w:rPr>
      </w:pPr>
      <w:r w:rsidRPr="009B2C31">
        <w:rPr>
          <w:lang w:val="en-GB"/>
        </w:rPr>
        <w:t>the Yearbook of International Organizations;</w:t>
      </w:r>
    </w:p>
    <w:p w14:paraId="350716E5" w14:textId="26D07C0A" w:rsidR="00327590" w:rsidRDefault="006C5AE2">
      <w:pPr>
        <w:pStyle w:val="Body"/>
        <w:numPr>
          <w:ilvl w:val="0"/>
          <w:numId w:val="2"/>
        </w:numPr>
        <w:rPr>
          <w:lang w:val="en-GB"/>
        </w:rPr>
      </w:pPr>
      <w:r w:rsidRPr="009B2C31">
        <w:rPr>
          <w:lang w:val="en-GB"/>
        </w:rPr>
        <w:t>press releases, newspaper articles, books</w:t>
      </w:r>
    </w:p>
    <w:p w14:paraId="27334062" w14:textId="77777777" w:rsidR="007A1918" w:rsidRPr="009B2C31" w:rsidRDefault="007A1918" w:rsidP="00FA51A2">
      <w:pPr>
        <w:pStyle w:val="Body"/>
        <w:rPr>
          <w:lang w:val="en-GB"/>
        </w:rPr>
      </w:pPr>
    </w:p>
    <w:p w14:paraId="6C062E59" w14:textId="77777777" w:rsidR="00327590" w:rsidRPr="009B2C31" w:rsidRDefault="006C5AE2">
      <w:pPr>
        <w:pStyle w:val="Body"/>
        <w:rPr>
          <w:lang w:val="en-GB"/>
        </w:rPr>
      </w:pPr>
      <w:r w:rsidRPr="009B2C31">
        <w:rPr>
          <w:lang w:val="en-GB"/>
        </w:rPr>
        <w:t>The list of the specific sources used to compile the membership information is available upon request.</w:t>
      </w:r>
    </w:p>
    <w:p w14:paraId="442D0065" w14:textId="77777777" w:rsidR="00327590" w:rsidRPr="009B2C31" w:rsidRDefault="006C5AE2">
      <w:pPr>
        <w:pStyle w:val="Body"/>
        <w:rPr>
          <w:lang w:val="en-GB"/>
        </w:rPr>
      </w:pPr>
      <w:r w:rsidRPr="009B2C31">
        <w:rPr>
          <w:lang w:val="en-GB"/>
        </w:rPr>
        <w:t>The novelty of the updated version of RIKS compared to the initial one is threefold:</w:t>
      </w:r>
    </w:p>
    <w:p w14:paraId="0D750A78" w14:textId="77777777" w:rsidR="00327590" w:rsidRPr="009B2C31" w:rsidRDefault="006C5AE2">
      <w:pPr>
        <w:pStyle w:val="Body"/>
        <w:numPr>
          <w:ilvl w:val="0"/>
          <w:numId w:val="2"/>
        </w:numPr>
        <w:rPr>
          <w:lang w:val="en-GB"/>
        </w:rPr>
      </w:pPr>
      <w:r w:rsidRPr="009B2C31">
        <w:rPr>
          <w:lang w:val="en-GB"/>
        </w:rPr>
        <w:t>organisation membership information is provided on an annual basis;</w:t>
      </w:r>
    </w:p>
    <w:p w14:paraId="5E1F6706" w14:textId="77777777" w:rsidR="00327590" w:rsidRPr="009B2C31" w:rsidRDefault="006C5AE2">
      <w:pPr>
        <w:pStyle w:val="Body"/>
        <w:numPr>
          <w:ilvl w:val="0"/>
          <w:numId w:val="2"/>
        </w:numPr>
        <w:rPr>
          <w:lang w:val="en-GB"/>
        </w:rPr>
      </w:pPr>
      <w:r w:rsidRPr="009B2C31">
        <w:rPr>
          <w:lang w:val="en-GB"/>
        </w:rPr>
        <w:t>the number of organisations included is extended by more or less one half (from 57 to 88 organisations);</w:t>
      </w:r>
    </w:p>
    <w:p w14:paraId="75C02B51" w14:textId="02ACB7AD" w:rsidR="00327590" w:rsidRPr="009B2C31" w:rsidRDefault="006C5AE2">
      <w:pPr>
        <w:pStyle w:val="Body"/>
        <w:numPr>
          <w:ilvl w:val="0"/>
          <w:numId w:val="2"/>
        </w:numPr>
        <w:rPr>
          <w:lang w:val="en-GB"/>
        </w:rPr>
      </w:pPr>
      <w:r w:rsidRPr="009B2C31">
        <w:rPr>
          <w:lang w:val="en-GB"/>
        </w:rPr>
        <w:t xml:space="preserve">the indicators of regional integration have been expanded from only covering international trade to </w:t>
      </w:r>
      <w:r w:rsidR="00BB25EF">
        <w:rPr>
          <w:lang w:val="en-GB"/>
        </w:rPr>
        <w:t xml:space="preserve">also </w:t>
      </w:r>
      <w:r w:rsidRPr="009B2C31">
        <w:rPr>
          <w:lang w:val="en-GB"/>
        </w:rPr>
        <w:t>include international investment and migration.</w:t>
      </w:r>
    </w:p>
    <w:p w14:paraId="684AAFF8" w14:textId="77777777" w:rsidR="00327590" w:rsidRPr="009B2C31" w:rsidRDefault="00327590">
      <w:pPr>
        <w:pStyle w:val="Body"/>
        <w:rPr>
          <w:lang w:val="en-GB"/>
        </w:rPr>
      </w:pPr>
    </w:p>
    <w:p w14:paraId="144DAC84" w14:textId="77777777" w:rsidR="00327590" w:rsidRPr="009B2C31" w:rsidRDefault="006C5AE2">
      <w:pPr>
        <w:pStyle w:val="Body"/>
        <w:rPr>
          <w:lang w:val="en-GB"/>
        </w:rPr>
      </w:pPr>
      <w:r w:rsidRPr="009B2C31">
        <w:rPr>
          <w:lang w:val="en-GB"/>
        </w:rPr>
        <w:t>Regarding the date of membership, three specific events are considered:</w:t>
      </w:r>
    </w:p>
    <w:p w14:paraId="02DFFB41" w14:textId="77777777" w:rsidR="00327590" w:rsidRPr="009B2C31" w:rsidRDefault="006C5AE2">
      <w:pPr>
        <w:pStyle w:val="Body"/>
        <w:numPr>
          <w:ilvl w:val="0"/>
          <w:numId w:val="2"/>
        </w:numPr>
        <w:rPr>
          <w:lang w:val="en-GB"/>
        </w:rPr>
      </w:pPr>
      <w:r w:rsidRPr="009B2C31">
        <w:rPr>
          <w:lang w:val="en-GB"/>
        </w:rPr>
        <w:t>the signing of the agreement;</w:t>
      </w:r>
    </w:p>
    <w:p w14:paraId="65B6A209" w14:textId="77777777" w:rsidR="00327590" w:rsidRPr="009B2C31" w:rsidRDefault="006C5AE2">
      <w:pPr>
        <w:pStyle w:val="Body"/>
        <w:numPr>
          <w:ilvl w:val="0"/>
          <w:numId w:val="2"/>
        </w:numPr>
        <w:rPr>
          <w:lang w:val="en-GB"/>
        </w:rPr>
      </w:pPr>
      <w:r w:rsidRPr="009B2C31">
        <w:rPr>
          <w:lang w:val="en-GB"/>
        </w:rPr>
        <w:t>the ratification of the agreement;</w:t>
      </w:r>
    </w:p>
    <w:p w14:paraId="2A7320AB" w14:textId="77777777" w:rsidR="00327590" w:rsidRPr="009B2C31" w:rsidRDefault="006C5AE2">
      <w:pPr>
        <w:pStyle w:val="Body"/>
        <w:numPr>
          <w:ilvl w:val="0"/>
          <w:numId w:val="2"/>
        </w:numPr>
        <w:rPr>
          <w:lang w:val="en-GB"/>
        </w:rPr>
      </w:pPr>
      <w:r w:rsidRPr="009B2C31">
        <w:rPr>
          <w:lang w:val="en-GB"/>
        </w:rPr>
        <w:t xml:space="preserve">the agreement </w:t>
      </w:r>
      <w:r w:rsidR="004D166B">
        <w:rPr>
          <w:lang w:val="en-GB"/>
        </w:rPr>
        <w:t>enters</w:t>
      </w:r>
      <w:r w:rsidRPr="009B2C31">
        <w:rPr>
          <w:lang w:val="en-GB"/>
        </w:rPr>
        <w:t xml:space="preserve"> into effect.</w:t>
      </w:r>
    </w:p>
    <w:p w14:paraId="1DB91218" w14:textId="77777777" w:rsidR="00327590" w:rsidRPr="009B2C31" w:rsidRDefault="00327590">
      <w:pPr>
        <w:pStyle w:val="Body"/>
        <w:rPr>
          <w:lang w:val="en-GB"/>
        </w:rPr>
      </w:pPr>
    </w:p>
    <w:p w14:paraId="5FF7F19E" w14:textId="7E2D73A5" w:rsidR="00327590" w:rsidRPr="009B2C31" w:rsidRDefault="006C5AE2">
      <w:pPr>
        <w:pStyle w:val="Body"/>
        <w:rPr>
          <w:lang w:val="en-GB"/>
        </w:rPr>
      </w:pPr>
      <w:r w:rsidRPr="1F2494D3">
        <w:rPr>
          <w:lang w:val="en-GB"/>
        </w:rPr>
        <w:t>However, the information on the different aspects of</w:t>
      </w:r>
      <w:r w:rsidR="004D166B" w:rsidRPr="1F2494D3">
        <w:rPr>
          <w:lang w:val="en-GB"/>
        </w:rPr>
        <w:t xml:space="preserve"> the</w:t>
      </w:r>
      <w:r w:rsidRPr="1F2494D3">
        <w:rPr>
          <w:lang w:val="en-GB"/>
        </w:rPr>
        <w:t xml:space="preserve"> membership status of the countries involved is seldom complete.  The information returned by the database or displayed on the world maps reflects the available information: i.e. in the first place, the year the agreement entered into</w:t>
      </w:r>
      <w:r w:rsidR="7F96C73A" w:rsidRPr="1F2494D3">
        <w:rPr>
          <w:lang w:val="en-GB"/>
        </w:rPr>
        <w:t xml:space="preserve"> </w:t>
      </w:r>
      <w:r w:rsidR="7F96C73A" w:rsidRPr="00D2431A">
        <w:rPr>
          <w:color w:val="000000" w:themeColor="text1"/>
          <w:lang w:val="en-GB"/>
        </w:rPr>
        <w:t>effect</w:t>
      </w:r>
      <w:r w:rsidRPr="1F2494D3">
        <w:rPr>
          <w:lang w:val="en-GB"/>
        </w:rPr>
        <w:t xml:space="preserve">; in absence of specific information thereof, the year of ratification of the agreement and, when lacking the </w:t>
      </w:r>
      <w:r w:rsidR="004D166B" w:rsidRPr="1F2494D3">
        <w:rPr>
          <w:lang w:val="en-GB"/>
        </w:rPr>
        <w:t>latter</w:t>
      </w:r>
      <w:r w:rsidRPr="1F2494D3">
        <w:rPr>
          <w:lang w:val="en-GB"/>
        </w:rPr>
        <w:t>, the year the agreement was signed.</w:t>
      </w:r>
    </w:p>
    <w:p w14:paraId="45FD1E81" w14:textId="370F07FE" w:rsidR="00327590" w:rsidRPr="009B2C31" w:rsidRDefault="006C5AE2">
      <w:pPr>
        <w:pStyle w:val="Body"/>
        <w:rPr>
          <w:lang w:val="en-GB"/>
        </w:rPr>
      </w:pPr>
      <w:r w:rsidRPr="009B2C31">
        <w:rPr>
          <w:lang w:val="en-GB"/>
        </w:rPr>
        <w:lastRenderedPageBreak/>
        <w:t>When choosing the “organisational details” option, the information on the membership status of the countries is provided in full.</w:t>
      </w:r>
    </w:p>
    <w:p w14:paraId="513A06F6" w14:textId="77777777" w:rsidR="00FA51A2" w:rsidRPr="009B2C31" w:rsidRDefault="00FA51A2">
      <w:pPr>
        <w:pStyle w:val="Body"/>
        <w:rPr>
          <w:lang w:val="en-GB"/>
        </w:rPr>
      </w:pPr>
    </w:p>
    <w:p w14:paraId="6FAC24C9" w14:textId="77777777" w:rsidR="00327590" w:rsidRPr="009B2C31" w:rsidRDefault="006C5AE2">
      <w:pPr>
        <w:pStyle w:val="Heading"/>
        <w:rPr>
          <w:lang w:val="en-GB"/>
        </w:rPr>
      </w:pPr>
      <w:bookmarkStart w:id="8" w:name="_Toc26868471"/>
      <w:r w:rsidRPr="009B2C31">
        <w:rPr>
          <w:rFonts w:eastAsia="Arial Unicode MS" w:cs="Arial Unicode MS"/>
          <w:lang w:val="en-GB"/>
        </w:rPr>
        <w:t>Regional Integration Indicators</w:t>
      </w:r>
      <w:bookmarkEnd w:id="8"/>
    </w:p>
    <w:p w14:paraId="3A0C3492" w14:textId="77777777" w:rsidR="00327590" w:rsidRPr="009B2C31" w:rsidRDefault="00327590">
      <w:pPr>
        <w:pStyle w:val="Body"/>
        <w:rPr>
          <w:lang w:val="en-GB"/>
        </w:rPr>
      </w:pPr>
    </w:p>
    <w:p w14:paraId="0149A121" w14:textId="56B27231" w:rsidR="00327590" w:rsidRPr="009B2C31" w:rsidRDefault="006C5AE2">
      <w:pPr>
        <w:pStyle w:val="Body"/>
        <w:rPr>
          <w:lang w:val="en-GB"/>
        </w:rPr>
      </w:pPr>
      <w:r w:rsidRPr="009B2C31">
        <w:rPr>
          <w:lang w:val="en-GB"/>
        </w:rPr>
        <w:t>For each predefined region of RIKS</w:t>
      </w:r>
      <w:r w:rsidR="004D166B">
        <w:rPr>
          <w:lang w:val="en-GB"/>
        </w:rPr>
        <w:t xml:space="preserve"> and </w:t>
      </w:r>
      <w:r w:rsidRPr="009B2C31">
        <w:rPr>
          <w:lang w:val="en-GB"/>
        </w:rPr>
        <w:t>any user-defined group of countries, the database provides a number of indicators that reflect the intensity of the integration and the position of the region in the world economy.  The data provided for predefined regions cover the regional arrangements as they are presented in the regional arrangements section of RIKS, i.e. with a changing set of countries belonging to each regional arrangement over time</w:t>
      </w:r>
      <w:r w:rsidR="002809E7">
        <w:rPr>
          <w:lang w:val="en-GB"/>
        </w:rPr>
        <w:t>,</w:t>
      </w:r>
      <w:r w:rsidRPr="009B2C31">
        <w:rPr>
          <w:lang w:val="en-GB"/>
        </w:rPr>
        <w:t xml:space="preserve"> such that it reflects the historical memberships.  Two types of data are used:</w:t>
      </w:r>
    </w:p>
    <w:p w14:paraId="00B72B89" w14:textId="77777777" w:rsidR="00327590" w:rsidRPr="009B2C31" w:rsidRDefault="006C5AE2">
      <w:pPr>
        <w:pStyle w:val="Body"/>
        <w:numPr>
          <w:ilvl w:val="0"/>
          <w:numId w:val="6"/>
        </w:numPr>
        <w:rPr>
          <w:lang w:val="en-GB"/>
        </w:rPr>
      </w:pPr>
      <w:r w:rsidRPr="009B2C31">
        <w:rPr>
          <w:lang w:val="en-GB"/>
        </w:rPr>
        <w:t>for indicators of the intensity of integration: data on bilateral international trade, bilateral international investment and bilateral international migration;</w:t>
      </w:r>
    </w:p>
    <w:p w14:paraId="0E0DD142" w14:textId="77777777" w:rsidR="00327590" w:rsidRPr="009B2C31" w:rsidRDefault="006C5AE2">
      <w:pPr>
        <w:pStyle w:val="Body"/>
        <w:numPr>
          <w:ilvl w:val="0"/>
          <w:numId w:val="6"/>
        </w:numPr>
        <w:rPr>
          <w:lang w:val="en-GB"/>
        </w:rPr>
      </w:pPr>
      <w:r w:rsidRPr="009B2C31">
        <w:rPr>
          <w:lang w:val="en-GB"/>
        </w:rPr>
        <w:t>for indicators of the position (importance) in the world economy: country</w:t>
      </w:r>
      <w:r w:rsidR="004D166B">
        <w:rPr>
          <w:lang w:val="en-GB"/>
        </w:rPr>
        <w:t>-</w:t>
      </w:r>
      <w:r w:rsidRPr="009B2C31">
        <w:rPr>
          <w:lang w:val="en-GB"/>
        </w:rPr>
        <w:t>level data of population, GDP, international trade, international investment, international migration and human development.</w:t>
      </w:r>
    </w:p>
    <w:p w14:paraId="43218F94" w14:textId="77777777" w:rsidR="00327590" w:rsidRPr="009B2C31" w:rsidRDefault="006C5AE2">
      <w:pPr>
        <w:pStyle w:val="Body"/>
        <w:rPr>
          <w:lang w:val="en-GB"/>
        </w:rPr>
      </w:pPr>
      <w:r w:rsidRPr="009B2C31">
        <w:rPr>
          <w:lang w:val="en-GB"/>
        </w:rPr>
        <w:t xml:space="preserve">Depending on </w:t>
      </w:r>
      <w:r w:rsidR="004D166B">
        <w:rPr>
          <w:lang w:val="en-GB"/>
        </w:rPr>
        <w:t xml:space="preserve">the </w:t>
      </w:r>
      <w:r w:rsidRPr="009B2C31">
        <w:rPr>
          <w:lang w:val="en-GB"/>
        </w:rPr>
        <w:t xml:space="preserve">availability of the raw data </w:t>
      </w:r>
      <w:r w:rsidR="004D166B">
        <w:rPr>
          <w:lang w:val="en-GB"/>
        </w:rPr>
        <w:t xml:space="preserve">at the </w:t>
      </w:r>
      <w:r w:rsidRPr="009B2C31">
        <w:rPr>
          <w:lang w:val="en-GB"/>
        </w:rPr>
        <w:t xml:space="preserve">UN and other official sources, </w:t>
      </w:r>
      <w:r w:rsidR="001B4246">
        <w:rPr>
          <w:lang w:val="en-GB"/>
        </w:rPr>
        <w:t xml:space="preserve">the </w:t>
      </w:r>
      <w:r w:rsidRPr="009B2C31">
        <w:rPr>
          <w:lang w:val="en-GB"/>
        </w:rPr>
        <w:t xml:space="preserve">time series </w:t>
      </w:r>
      <w:r w:rsidR="004D166B">
        <w:rPr>
          <w:lang w:val="en-GB"/>
        </w:rPr>
        <w:t>typically</w:t>
      </w:r>
      <w:r w:rsidRPr="009B2C31">
        <w:rPr>
          <w:lang w:val="en-GB"/>
        </w:rPr>
        <w:t xml:space="preserve"> start in 1960.</w:t>
      </w:r>
    </w:p>
    <w:p w14:paraId="798DED9A" w14:textId="77777777" w:rsidR="00327590" w:rsidRPr="009B2C31" w:rsidRDefault="006C5AE2">
      <w:pPr>
        <w:pStyle w:val="Body"/>
        <w:rPr>
          <w:lang w:val="en-GB"/>
        </w:rPr>
      </w:pPr>
      <w:r w:rsidRPr="009B2C31">
        <w:rPr>
          <w:lang w:val="en-GB"/>
        </w:rPr>
        <w:t>Currently</w:t>
      </w:r>
      <w:r w:rsidR="004D166B">
        <w:rPr>
          <w:lang w:val="en-GB"/>
        </w:rPr>
        <w:t>,</w:t>
      </w:r>
      <w:r w:rsidRPr="009B2C31">
        <w:rPr>
          <w:lang w:val="en-GB"/>
        </w:rPr>
        <w:t xml:space="preserve"> any missing data is treated as zero value in the calculation.</w:t>
      </w:r>
    </w:p>
    <w:p w14:paraId="54E12461" w14:textId="77777777" w:rsidR="00327590" w:rsidRPr="009B2C31" w:rsidRDefault="006C5AE2">
      <w:pPr>
        <w:pStyle w:val="Body"/>
        <w:rPr>
          <w:lang w:val="en-GB"/>
        </w:rPr>
      </w:pPr>
      <w:r w:rsidRPr="009B2C31">
        <w:rPr>
          <w:lang w:val="en-GB"/>
        </w:rPr>
        <w:t>The new feature</w:t>
      </w:r>
      <w:r w:rsidR="001B4246">
        <w:rPr>
          <w:lang w:val="en-GB"/>
        </w:rPr>
        <w:t>s</w:t>
      </w:r>
      <w:r w:rsidRPr="009B2C31">
        <w:rPr>
          <w:lang w:val="en-GB"/>
        </w:rPr>
        <w:t xml:space="preserve"> of the updated version of RIKS regarding the indicators of regional indicators </w:t>
      </w:r>
      <w:r w:rsidR="001B4246">
        <w:rPr>
          <w:lang w:val="en-GB"/>
        </w:rPr>
        <w:t>are</w:t>
      </w:r>
      <w:r w:rsidRPr="009B2C31">
        <w:rPr>
          <w:lang w:val="en-GB"/>
        </w:rPr>
        <w:t xml:space="preserve"> the provision of longer and more complete data series, and the extension of the integration intensity indicators to international investment and migration.  </w:t>
      </w:r>
    </w:p>
    <w:p w14:paraId="5C3D8BC2" w14:textId="1147F53C" w:rsidR="00327590" w:rsidRPr="009B2C31" w:rsidRDefault="004D166B">
      <w:pPr>
        <w:pStyle w:val="Body"/>
        <w:rPr>
          <w:lang w:val="en-GB"/>
        </w:rPr>
      </w:pPr>
      <w:r>
        <w:rPr>
          <w:lang w:val="en-GB"/>
        </w:rPr>
        <w:t>T</w:t>
      </w:r>
      <w:r w:rsidR="006C5AE2" w:rsidRPr="009B2C31">
        <w:rPr>
          <w:lang w:val="en-GB"/>
        </w:rPr>
        <w:t>rade</w:t>
      </w:r>
      <w:r w:rsidR="004464A4">
        <w:rPr>
          <w:lang w:val="en-GB"/>
        </w:rPr>
        <w:t>-</w:t>
      </w:r>
      <w:r w:rsidR="006C5AE2" w:rsidRPr="009B2C31">
        <w:rPr>
          <w:lang w:val="en-GB"/>
        </w:rPr>
        <w:t>based indicators of integration are th</w:t>
      </w:r>
      <w:r w:rsidR="002809E7">
        <w:rPr>
          <w:lang w:val="en-GB"/>
        </w:rPr>
        <w:t>ose</w:t>
      </w:r>
      <w:r w:rsidR="006C5AE2" w:rsidRPr="009B2C31">
        <w:rPr>
          <w:lang w:val="en-GB"/>
        </w:rPr>
        <w:t xml:space="preserve"> standard</w:t>
      </w:r>
      <w:r w:rsidR="002809E7">
        <w:rPr>
          <w:lang w:val="en-GB"/>
        </w:rPr>
        <w:t>ly used</w:t>
      </w:r>
      <w:r w:rsidR="006C5AE2" w:rsidRPr="009B2C31">
        <w:rPr>
          <w:lang w:val="en-GB"/>
        </w:rPr>
        <w:t xml:space="preserve">, based on the most traditional form </w:t>
      </w:r>
      <w:r>
        <w:rPr>
          <w:lang w:val="en-GB"/>
        </w:rPr>
        <w:t xml:space="preserve">of </w:t>
      </w:r>
      <w:r w:rsidR="006C5AE2" w:rsidRPr="009B2C31">
        <w:rPr>
          <w:lang w:val="en-GB"/>
        </w:rPr>
        <w:t xml:space="preserve">international economic relations takes (exchange of goods and services).  However, in the last 30 years, international mobility of capital and labour </w:t>
      </w:r>
      <w:r w:rsidR="002809E7">
        <w:rPr>
          <w:lang w:val="en-GB"/>
        </w:rPr>
        <w:t>increased</w:t>
      </w:r>
      <w:r w:rsidR="002809E7" w:rsidRPr="009B2C31">
        <w:rPr>
          <w:lang w:val="en-GB"/>
        </w:rPr>
        <w:t xml:space="preserve"> </w:t>
      </w:r>
      <w:r w:rsidR="006C5AE2" w:rsidRPr="009B2C31">
        <w:rPr>
          <w:lang w:val="en-GB"/>
        </w:rPr>
        <w:t xml:space="preserve">substantially in importance and weight and became a component of economic integration equivalent to international trade.  Hence, to have a comprehensive view of regional integration, </w:t>
      </w:r>
      <w:r w:rsidR="002809E7">
        <w:rPr>
          <w:lang w:val="en-GB"/>
        </w:rPr>
        <w:t>the</w:t>
      </w:r>
      <w:r w:rsidR="002809E7" w:rsidRPr="009B2C31">
        <w:rPr>
          <w:lang w:val="en-GB"/>
        </w:rPr>
        <w:t xml:space="preserve"> </w:t>
      </w:r>
      <w:r w:rsidR="006C5AE2" w:rsidRPr="009B2C31">
        <w:rPr>
          <w:lang w:val="en-GB"/>
        </w:rPr>
        <w:t>indicators</w:t>
      </w:r>
      <w:r w:rsidR="002809E7">
        <w:rPr>
          <w:lang w:val="en-GB"/>
        </w:rPr>
        <w:t xml:space="preserve"> used by RIKS</w:t>
      </w:r>
      <w:r w:rsidR="006C5AE2" w:rsidRPr="009B2C31">
        <w:rPr>
          <w:lang w:val="en-GB"/>
        </w:rPr>
        <w:t xml:space="preserve"> should reflect</w:t>
      </w:r>
      <w:r w:rsidR="002809E7">
        <w:rPr>
          <w:lang w:val="en-GB"/>
        </w:rPr>
        <w:t xml:space="preserve"> the</w:t>
      </w:r>
      <w:r w:rsidR="006C5AE2" w:rsidRPr="009B2C31">
        <w:rPr>
          <w:lang w:val="en-GB"/>
        </w:rPr>
        <w:t xml:space="preserve"> new forms that it takes as well.</w:t>
      </w:r>
    </w:p>
    <w:p w14:paraId="4027683E" w14:textId="77777777" w:rsidR="00327590" w:rsidRPr="009B2C31" w:rsidRDefault="00327590">
      <w:pPr>
        <w:pStyle w:val="Body"/>
        <w:rPr>
          <w:lang w:val="en-GB"/>
        </w:rPr>
      </w:pPr>
    </w:p>
    <w:p w14:paraId="4C2AA6F4" w14:textId="77777777" w:rsidR="00327590" w:rsidRPr="009B2C31" w:rsidRDefault="006C5AE2">
      <w:pPr>
        <w:pStyle w:val="Heading2"/>
        <w:rPr>
          <w:lang w:val="en-GB"/>
        </w:rPr>
      </w:pPr>
      <w:bookmarkStart w:id="9" w:name="_Toc26868472"/>
      <w:r w:rsidRPr="009B2C31">
        <w:rPr>
          <w:rFonts w:eastAsia="Arial Unicode MS" w:cs="Arial Unicode MS"/>
          <w:lang w:val="en-GB"/>
        </w:rPr>
        <w:lastRenderedPageBreak/>
        <w:t>Data sources</w:t>
      </w:r>
      <w:bookmarkEnd w:id="9"/>
    </w:p>
    <w:p w14:paraId="1B53C3DF" w14:textId="77777777" w:rsidR="00327590" w:rsidRPr="009B2C31" w:rsidRDefault="006C5AE2">
      <w:pPr>
        <w:pStyle w:val="Heading3"/>
        <w:rPr>
          <w:lang w:val="en-GB"/>
        </w:rPr>
      </w:pPr>
      <w:bookmarkStart w:id="10" w:name="_Toc26868473"/>
      <w:r w:rsidRPr="009B2C31">
        <w:rPr>
          <w:rFonts w:eastAsia="Arial Unicode MS" w:cs="Arial Unicode MS"/>
          <w:lang w:val="en-GB"/>
        </w:rPr>
        <w:t>International Trade</w:t>
      </w:r>
      <w:bookmarkEnd w:id="10"/>
    </w:p>
    <w:p w14:paraId="778E04B2" w14:textId="77777777" w:rsidR="00327590" w:rsidRPr="009B2C31" w:rsidRDefault="00327590">
      <w:pPr>
        <w:pStyle w:val="Body"/>
        <w:rPr>
          <w:lang w:val="en-GB"/>
        </w:rPr>
      </w:pPr>
    </w:p>
    <w:p w14:paraId="1E5713D5" w14:textId="67453988" w:rsidR="00327590" w:rsidRPr="009B2C31" w:rsidRDefault="006C5AE2">
      <w:pPr>
        <w:pStyle w:val="Body"/>
        <w:rPr>
          <w:lang w:val="en-GB"/>
        </w:rPr>
      </w:pPr>
      <w:r w:rsidRPr="009B2C31">
        <w:rPr>
          <w:lang w:val="en-GB"/>
        </w:rPr>
        <w:t xml:space="preserve">The source used for the international trade data is the </w:t>
      </w:r>
      <w:proofErr w:type="spellStart"/>
      <w:r w:rsidRPr="009B2C31">
        <w:rPr>
          <w:lang w:val="en-GB"/>
        </w:rPr>
        <w:t>Comtrade</w:t>
      </w:r>
      <w:proofErr w:type="spellEnd"/>
      <w:r w:rsidRPr="009B2C31">
        <w:rPr>
          <w:lang w:val="en-GB"/>
        </w:rPr>
        <w:t xml:space="preserve"> database of the United Nations. It contains data of imports and exports at bilateral country level since 1962 for </w:t>
      </w:r>
      <w:r w:rsidR="00EC22F9">
        <w:rPr>
          <w:lang w:val="en-GB"/>
        </w:rPr>
        <w:t>a large</w:t>
      </w:r>
      <w:r w:rsidRPr="009B2C31">
        <w:rPr>
          <w:lang w:val="en-GB"/>
        </w:rPr>
        <w:t xml:space="preserve"> set of countries.  Data are given in current</w:t>
      </w:r>
      <w:r w:rsidR="001D6BA5">
        <w:rPr>
          <w:lang w:val="en-GB"/>
        </w:rPr>
        <w:t xml:space="preserve"> million</w:t>
      </w:r>
      <w:r w:rsidRPr="009B2C31">
        <w:rPr>
          <w:lang w:val="en-GB"/>
        </w:rPr>
        <w:t xml:space="preserve"> US dollars.  RIKS uses data according to four SITC classifications (revisions 1 to 4), though at the level of total bilateral trade, the specific classification has no bearing on the values of the flows</w:t>
      </w:r>
      <w:r w:rsidR="002809E7">
        <w:rPr>
          <w:lang w:val="en-GB"/>
        </w:rPr>
        <w:t>,</w:t>
      </w:r>
      <w:r w:rsidRPr="009B2C31">
        <w:rPr>
          <w:lang w:val="en-GB"/>
        </w:rPr>
        <w:t xml:space="preserve"> nor the availability of the data.</w:t>
      </w:r>
    </w:p>
    <w:p w14:paraId="0DA08CE7" w14:textId="77777777" w:rsidR="00327590" w:rsidRPr="009B2C31" w:rsidRDefault="006C5AE2">
      <w:pPr>
        <w:pStyle w:val="Body"/>
        <w:rPr>
          <w:lang w:val="en-GB"/>
        </w:rPr>
      </w:pPr>
      <w:r w:rsidRPr="009B2C31">
        <w:rPr>
          <w:lang w:val="en-GB"/>
        </w:rPr>
        <w:t>To limit the impact of missing data when calculating the indicators, missing import</w:t>
      </w:r>
      <w:r w:rsidR="004464A4">
        <w:rPr>
          <w:lang w:val="en-GB"/>
        </w:rPr>
        <w:t xml:space="preserve">s </w:t>
      </w:r>
      <w:r w:rsidRPr="009B2C31">
        <w:rPr>
          <w:lang w:val="en-GB"/>
        </w:rPr>
        <w:t>were replaced by export</w:t>
      </w:r>
      <w:r w:rsidR="004464A4">
        <w:rPr>
          <w:lang w:val="en-GB"/>
        </w:rPr>
        <w:t xml:space="preserve">s </w:t>
      </w:r>
      <w:r w:rsidRPr="009B2C31">
        <w:rPr>
          <w:lang w:val="en-GB"/>
        </w:rPr>
        <w:t>in the opposite direction</w:t>
      </w:r>
      <w:r w:rsidR="002009BE">
        <w:rPr>
          <w:lang w:val="en-GB"/>
        </w:rPr>
        <w:t>, and vice versa.</w:t>
      </w:r>
    </w:p>
    <w:p w14:paraId="634A2812" w14:textId="77777777" w:rsidR="00327590" w:rsidRPr="009B2C31" w:rsidRDefault="00542058">
      <w:pPr>
        <w:pStyle w:val="Body"/>
        <w:rPr>
          <w:lang w:val="en-GB"/>
        </w:rPr>
      </w:pPr>
      <w:hyperlink r:id="rId11" w:history="1">
        <w:r w:rsidR="006C5AE2" w:rsidRPr="009B2C31">
          <w:rPr>
            <w:rStyle w:val="Hyperlink0"/>
            <w:lang w:val="en-GB"/>
          </w:rPr>
          <w:t>https://comtrade.un.org/data/</w:t>
        </w:r>
      </w:hyperlink>
      <w:r w:rsidR="006C5AE2" w:rsidRPr="009B2C31">
        <w:rPr>
          <w:lang w:val="en-GB"/>
        </w:rPr>
        <w:t>.</w:t>
      </w:r>
    </w:p>
    <w:p w14:paraId="2EF0368C" w14:textId="77777777" w:rsidR="00327590" w:rsidRPr="009B2C31" w:rsidRDefault="006C5AE2">
      <w:pPr>
        <w:pStyle w:val="Heading3"/>
        <w:rPr>
          <w:lang w:val="en-GB"/>
        </w:rPr>
      </w:pPr>
      <w:bookmarkStart w:id="11" w:name="_Toc26868474"/>
      <w:r w:rsidRPr="009B2C31">
        <w:rPr>
          <w:rFonts w:eastAsia="Arial Unicode MS" w:cs="Arial Unicode MS"/>
          <w:lang w:val="en-GB"/>
        </w:rPr>
        <w:t>Migration</w:t>
      </w:r>
      <w:bookmarkEnd w:id="11"/>
      <w:r w:rsidRPr="009B2C31">
        <w:rPr>
          <w:rFonts w:eastAsia="Arial Unicode MS" w:cs="Arial Unicode MS"/>
          <w:lang w:val="en-GB"/>
        </w:rPr>
        <w:t xml:space="preserve"> </w:t>
      </w:r>
    </w:p>
    <w:p w14:paraId="506963F0" w14:textId="4D12750F" w:rsidR="00327590" w:rsidRPr="009B2C31" w:rsidRDefault="006C5AE2">
      <w:pPr>
        <w:pStyle w:val="Body"/>
        <w:rPr>
          <w:lang w:val="en-GB"/>
        </w:rPr>
      </w:pPr>
      <w:r w:rsidRPr="009B2C31">
        <w:rPr>
          <w:lang w:val="en-GB"/>
        </w:rPr>
        <w:t xml:space="preserve">Data on international migration used in RIKS originate from </w:t>
      </w:r>
      <w:r w:rsidR="002809E7">
        <w:rPr>
          <w:lang w:val="en-GB"/>
        </w:rPr>
        <w:t>a variety of</w:t>
      </w:r>
      <w:r w:rsidR="002809E7" w:rsidRPr="009B2C31">
        <w:rPr>
          <w:lang w:val="en-GB"/>
        </w:rPr>
        <w:t xml:space="preserve"> </w:t>
      </w:r>
      <w:r w:rsidRPr="009B2C31">
        <w:rPr>
          <w:lang w:val="en-GB"/>
        </w:rPr>
        <w:t>sources</w:t>
      </w:r>
      <w:r w:rsidR="00EC22F9">
        <w:rPr>
          <w:lang w:val="en-GB"/>
        </w:rPr>
        <w:t xml:space="preserve">. This allows </w:t>
      </w:r>
      <w:r w:rsidR="002809E7">
        <w:rPr>
          <w:lang w:val="en-GB"/>
        </w:rPr>
        <w:t xml:space="preserve">the platform </w:t>
      </w:r>
      <w:r w:rsidR="00EC22F9">
        <w:rPr>
          <w:lang w:val="en-GB"/>
        </w:rPr>
        <w:t>to fill in th</w:t>
      </w:r>
      <w:r w:rsidRPr="009B2C31">
        <w:rPr>
          <w:lang w:val="en-GB"/>
        </w:rPr>
        <w:t xml:space="preserve">e gaps </w:t>
      </w:r>
      <w:r w:rsidR="00EC22F9">
        <w:rPr>
          <w:lang w:val="en-GB"/>
        </w:rPr>
        <w:t>in the data</w:t>
      </w:r>
      <w:r w:rsidRPr="009B2C31">
        <w:rPr>
          <w:lang w:val="en-GB"/>
        </w:rPr>
        <w:t xml:space="preserve"> in terms of geographic coverage</w:t>
      </w:r>
      <w:r w:rsidR="00EC22F9">
        <w:rPr>
          <w:rStyle w:val="FootnoteReference"/>
          <w:lang w:val="en-GB"/>
        </w:rPr>
        <w:footnoteReference w:id="1"/>
      </w:r>
      <w:r w:rsidRPr="009B2C31">
        <w:rPr>
          <w:lang w:val="en-GB"/>
        </w:rPr>
        <w:t xml:space="preserve"> or data frequency.</w:t>
      </w:r>
      <w:r w:rsidR="00EC22F9">
        <w:rPr>
          <w:rStyle w:val="FootnoteReference"/>
          <w:lang w:val="en-GB"/>
        </w:rPr>
        <w:footnoteReference w:id="2"/>
      </w:r>
      <w:r w:rsidRPr="009B2C31">
        <w:rPr>
          <w:lang w:val="en-GB"/>
        </w:rPr>
        <w:t xml:space="preserve"> </w:t>
      </w:r>
      <w:r w:rsidR="00550B57">
        <w:rPr>
          <w:lang w:val="en-GB"/>
        </w:rPr>
        <w:t>The flows are reported per 1000 people.</w:t>
      </w:r>
      <w:r w:rsidRPr="009B2C31">
        <w:rPr>
          <w:lang w:val="en-GB"/>
        </w:rPr>
        <w:t xml:space="preserve"> To compile the </w:t>
      </w:r>
      <w:r w:rsidR="00CB62E9">
        <w:rPr>
          <w:lang w:val="en-GB"/>
        </w:rPr>
        <w:t>most extensive</w:t>
      </w:r>
      <w:r w:rsidRPr="009B2C31">
        <w:rPr>
          <w:lang w:val="en-GB"/>
        </w:rPr>
        <w:t xml:space="preserve"> possible set of annual in- and outflow data, RIKS includes:</w:t>
      </w:r>
    </w:p>
    <w:p w14:paraId="762BC82C" w14:textId="77777777" w:rsidR="00327590" w:rsidRPr="009B2C31" w:rsidRDefault="006C5AE2">
      <w:pPr>
        <w:pStyle w:val="Body"/>
        <w:numPr>
          <w:ilvl w:val="0"/>
          <w:numId w:val="6"/>
        </w:numPr>
        <w:rPr>
          <w:lang w:val="en-GB"/>
        </w:rPr>
      </w:pPr>
      <w:r w:rsidRPr="009B2C31">
        <w:rPr>
          <w:lang w:val="en-GB"/>
        </w:rPr>
        <w:t>Data on the stock of migrants</w:t>
      </w:r>
      <w:r w:rsidR="004427F7">
        <w:rPr>
          <w:lang w:val="en-GB"/>
        </w:rPr>
        <w:t xml:space="preserve"> from</w:t>
      </w:r>
      <w:r w:rsidRPr="009B2C31">
        <w:rPr>
          <w:lang w:val="en-GB"/>
        </w:rPr>
        <w:t>:</w:t>
      </w:r>
    </w:p>
    <w:p w14:paraId="08AB45F6" w14:textId="77777777" w:rsidR="00327590" w:rsidRPr="004427F7" w:rsidRDefault="006C5AE2" w:rsidP="004427F7">
      <w:pPr>
        <w:pStyle w:val="Body"/>
        <w:numPr>
          <w:ilvl w:val="1"/>
          <w:numId w:val="6"/>
        </w:numPr>
        <w:jc w:val="left"/>
        <w:rPr>
          <w:lang w:val="en-GB"/>
        </w:rPr>
      </w:pPr>
      <w:r w:rsidRPr="009B2C31">
        <w:rPr>
          <w:lang w:val="en-GB"/>
        </w:rPr>
        <w:t>the international migration data of the UN Population Division (Department of Economic and Social Affairs</w:t>
      </w:r>
      <w:r w:rsidR="004427F7">
        <w:rPr>
          <w:lang w:val="en-GB"/>
        </w:rPr>
        <w:t>)</w:t>
      </w:r>
      <w:r w:rsidRPr="004427F7">
        <w:rPr>
          <w:lang w:val="en-GB"/>
        </w:rPr>
        <w:br/>
      </w:r>
      <w:hyperlink r:id="rId12" w:history="1">
        <w:r w:rsidRPr="004427F7">
          <w:rPr>
            <w:rStyle w:val="Hyperlink0"/>
            <w:lang w:val="en-GB"/>
          </w:rPr>
          <w:t>https://www.un.org/en/development/desa/population/migration/data/estimates2/estimates19.asp</w:t>
        </w:r>
      </w:hyperlink>
    </w:p>
    <w:p w14:paraId="2DA79927" w14:textId="77777777" w:rsidR="00327590" w:rsidRPr="009B2C31" w:rsidRDefault="006C5AE2" w:rsidP="004427F7">
      <w:pPr>
        <w:pStyle w:val="Body"/>
        <w:numPr>
          <w:ilvl w:val="1"/>
          <w:numId w:val="6"/>
        </w:numPr>
        <w:jc w:val="left"/>
        <w:rPr>
          <w:lang w:val="en-GB"/>
        </w:rPr>
      </w:pPr>
      <w:r w:rsidRPr="009B2C31">
        <w:rPr>
          <w:lang w:val="en-GB"/>
        </w:rPr>
        <w:t>the World Bank Migration and Remittances data;</w:t>
      </w:r>
      <w:r w:rsidRPr="009B2C31">
        <w:rPr>
          <w:lang w:val="en-GB"/>
        </w:rPr>
        <w:br/>
      </w:r>
      <w:hyperlink r:id="rId13" w:history="1">
        <w:r w:rsidRPr="009B2C31">
          <w:rPr>
            <w:rStyle w:val="Hyperlink0"/>
            <w:lang w:val="en-GB"/>
          </w:rPr>
          <w:t>https://www.worldbank.org/en/topic/migrationremittancesdiasporaissues/brief/migration-remittances-data</w:t>
        </w:r>
      </w:hyperlink>
    </w:p>
    <w:p w14:paraId="11AB3C25" w14:textId="77777777" w:rsidR="00327590" w:rsidRPr="004427F7" w:rsidRDefault="006C5AE2" w:rsidP="004427F7">
      <w:pPr>
        <w:pStyle w:val="Body"/>
        <w:numPr>
          <w:ilvl w:val="1"/>
          <w:numId w:val="6"/>
        </w:numPr>
        <w:jc w:val="left"/>
        <w:rPr>
          <w:rStyle w:val="Hyperlink0"/>
          <w:u w:val="none"/>
          <w:lang w:val="en-GB"/>
        </w:rPr>
      </w:pPr>
      <w:r w:rsidRPr="009B2C31">
        <w:rPr>
          <w:lang w:val="en-GB"/>
        </w:rPr>
        <w:t xml:space="preserve">data from the OECD International Migration Database. </w:t>
      </w:r>
      <w:r w:rsidRPr="009B2C31">
        <w:rPr>
          <w:lang w:val="en-GB"/>
        </w:rPr>
        <w:br/>
      </w:r>
      <w:hyperlink r:id="rId14" w:history="1">
        <w:r w:rsidRPr="009B2C31">
          <w:rPr>
            <w:rStyle w:val="Hyperlink0"/>
            <w:lang w:val="en-GB"/>
          </w:rPr>
          <w:t>https://stats.oecd.org</w:t>
        </w:r>
      </w:hyperlink>
    </w:p>
    <w:p w14:paraId="712F1C26" w14:textId="77777777" w:rsidR="00327590" w:rsidRPr="009B2C31" w:rsidRDefault="006C5AE2">
      <w:pPr>
        <w:pStyle w:val="Body"/>
        <w:numPr>
          <w:ilvl w:val="0"/>
          <w:numId w:val="6"/>
        </w:numPr>
        <w:rPr>
          <w:lang w:val="en-GB"/>
        </w:rPr>
      </w:pPr>
      <w:r w:rsidRPr="009B2C31">
        <w:rPr>
          <w:lang w:val="en-GB"/>
        </w:rPr>
        <w:t>Data on migration in- and outflows</w:t>
      </w:r>
      <w:r w:rsidR="004427F7">
        <w:rPr>
          <w:lang w:val="en-GB"/>
        </w:rPr>
        <w:t xml:space="preserve"> from</w:t>
      </w:r>
      <w:r w:rsidRPr="009B2C31">
        <w:rPr>
          <w:lang w:val="en-GB"/>
        </w:rPr>
        <w:t>:</w:t>
      </w:r>
    </w:p>
    <w:p w14:paraId="3757CD4D" w14:textId="0F011578" w:rsidR="00327590" w:rsidRPr="009B2C31" w:rsidRDefault="006C5AE2" w:rsidP="004427F7">
      <w:pPr>
        <w:pStyle w:val="Body"/>
        <w:numPr>
          <w:ilvl w:val="1"/>
          <w:numId w:val="6"/>
        </w:numPr>
        <w:jc w:val="left"/>
        <w:rPr>
          <w:lang w:val="en-GB"/>
        </w:rPr>
      </w:pPr>
      <w:r w:rsidRPr="009B2C31">
        <w:rPr>
          <w:lang w:val="en-GB"/>
        </w:rPr>
        <w:lastRenderedPageBreak/>
        <w:t>the International Migration Flows to and from Selected Countries of the UN Population Division (Department of Economic and Social Affairs);</w:t>
      </w:r>
      <w:r w:rsidRPr="009B2C31">
        <w:rPr>
          <w:lang w:val="en-GB"/>
        </w:rPr>
        <w:br/>
      </w:r>
      <w:hyperlink r:id="rId15" w:history="1">
        <w:r w:rsidRPr="009B2C31">
          <w:rPr>
            <w:rStyle w:val="Hyperlink0"/>
            <w:lang w:val="en-GB"/>
          </w:rPr>
          <w:t>https://www.un.org/en/development/desa/population/migration/data/empirical2/migrationflows.asp</w:t>
        </w:r>
      </w:hyperlink>
    </w:p>
    <w:p w14:paraId="3E6BC13D" w14:textId="77777777" w:rsidR="00327590" w:rsidRPr="009B2C31" w:rsidRDefault="006C5AE2" w:rsidP="004427F7">
      <w:pPr>
        <w:pStyle w:val="Body"/>
        <w:numPr>
          <w:ilvl w:val="1"/>
          <w:numId w:val="6"/>
        </w:numPr>
        <w:jc w:val="left"/>
        <w:rPr>
          <w:lang w:val="en-GB"/>
        </w:rPr>
      </w:pPr>
      <w:r w:rsidRPr="009B2C31">
        <w:rPr>
          <w:lang w:val="en-GB"/>
        </w:rPr>
        <w:t>data from the OECD International Migration Database;</w:t>
      </w:r>
      <w:r w:rsidRPr="009B2C31">
        <w:rPr>
          <w:lang w:val="en-GB"/>
        </w:rPr>
        <w:br/>
      </w:r>
      <w:hyperlink r:id="rId16" w:history="1">
        <w:r w:rsidRPr="009B2C31">
          <w:rPr>
            <w:rStyle w:val="Hyperlink0"/>
            <w:lang w:val="en-GB"/>
          </w:rPr>
          <w:t>https://stats.oecd.org</w:t>
        </w:r>
      </w:hyperlink>
    </w:p>
    <w:p w14:paraId="46E118D3" w14:textId="77777777" w:rsidR="00327590" w:rsidRPr="009B2C31" w:rsidRDefault="006C5AE2" w:rsidP="004427F7">
      <w:pPr>
        <w:pStyle w:val="Body"/>
        <w:numPr>
          <w:ilvl w:val="1"/>
          <w:numId w:val="6"/>
        </w:numPr>
        <w:jc w:val="left"/>
        <w:rPr>
          <w:lang w:val="en-GB"/>
        </w:rPr>
      </w:pPr>
      <w:r w:rsidRPr="009B2C31">
        <w:rPr>
          <w:lang w:val="en-GB"/>
        </w:rPr>
        <w:t>the DEMIG C2C data from the International Migration Institute.</w:t>
      </w:r>
      <w:r w:rsidRPr="009B2C31">
        <w:rPr>
          <w:lang w:val="en-GB"/>
        </w:rPr>
        <w:br/>
      </w:r>
      <w:hyperlink r:id="rId17" w:history="1">
        <w:r w:rsidRPr="009B2C31">
          <w:rPr>
            <w:rStyle w:val="Hyperlink0"/>
            <w:lang w:val="en-GB"/>
          </w:rPr>
          <w:t>https://www.migrationinstitute.org/data/demig-data/demig-c2c-data</w:t>
        </w:r>
      </w:hyperlink>
    </w:p>
    <w:p w14:paraId="4482446C" w14:textId="77777777" w:rsidR="00327590" w:rsidRPr="009B2C31" w:rsidRDefault="006C5AE2">
      <w:pPr>
        <w:pStyle w:val="Heading3"/>
        <w:rPr>
          <w:lang w:val="en-GB"/>
        </w:rPr>
      </w:pPr>
      <w:bookmarkStart w:id="12" w:name="_Toc26868475"/>
      <w:r w:rsidRPr="009B2C31">
        <w:rPr>
          <w:rFonts w:eastAsia="Arial Unicode MS" w:cs="Arial Unicode MS"/>
          <w:lang w:val="en-GB"/>
        </w:rPr>
        <w:t>Investment</w:t>
      </w:r>
      <w:bookmarkEnd w:id="12"/>
    </w:p>
    <w:p w14:paraId="5487C10B" w14:textId="2C1FD45B" w:rsidR="00327590" w:rsidRPr="009B2C31" w:rsidRDefault="006C5AE2">
      <w:pPr>
        <w:pStyle w:val="Body"/>
        <w:rPr>
          <w:lang w:val="en-GB"/>
        </w:rPr>
      </w:pPr>
      <w:r w:rsidRPr="009B2C31">
        <w:rPr>
          <w:lang w:val="en-GB"/>
        </w:rPr>
        <w:t xml:space="preserve">Data </w:t>
      </w:r>
      <w:r w:rsidR="00FB6231">
        <w:rPr>
          <w:lang w:val="en-GB"/>
        </w:rPr>
        <w:t>tracking</w:t>
      </w:r>
      <w:r w:rsidRPr="009B2C31">
        <w:rPr>
          <w:lang w:val="en-GB"/>
        </w:rPr>
        <w:t xml:space="preserve"> international investment </w:t>
      </w:r>
      <w:r w:rsidR="00FB6231">
        <w:rPr>
          <w:lang w:val="en-GB"/>
        </w:rPr>
        <w:t xml:space="preserve">flows from origin to destination </w:t>
      </w:r>
      <w:r w:rsidRPr="009B2C31">
        <w:rPr>
          <w:lang w:val="en-GB"/>
        </w:rPr>
        <w:t xml:space="preserve">country remain scarce. The source used in RIKS is the bilateral FDI statistics compiled by UNCTAD. By reporting country, these consist of four series of data: incoming and outgoing stocks in millions of US dollars, respectively by country of origin and destination, as well as incoming and outgoing flows. It provides data from 2000 onwards, hence a much shorter </w:t>
      </w:r>
      <w:r w:rsidR="00557803">
        <w:rPr>
          <w:lang w:val="en-GB"/>
        </w:rPr>
        <w:t>period</w:t>
      </w:r>
      <w:r w:rsidRPr="009B2C31">
        <w:rPr>
          <w:lang w:val="en-GB"/>
        </w:rPr>
        <w:t xml:space="preserve"> compared to trade and migration. To reduce the impact of missing data in the computation of the indicators, missing incoming investment flows are replaced by the outgoing flows in the opposite direction. In case both are unavailable, we used the yearly change of the stock of incoming investments, or the yearly change of the stock of outgoing investments in the opposite direction.</w:t>
      </w:r>
      <w:r w:rsidRPr="009B2C31">
        <w:rPr>
          <w:lang w:val="en-GB"/>
        </w:rPr>
        <w:br/>
      </w:r>
      <w:hyperlink r:id="rId18" w:history="1">
        <w:r w:rsidRPr="009B2C31">
          <w:rPr>
            <w:rStyle w:val="Hyperlink0"/>
            <w:lang w:val="en-GB"/>
          </w:rPr>
          <w:t>https://unctad.org/en/Pages/DIAE/FDI%20Statistics/FDI-Statistics-Bilateral.aspx</w:t>
        </w:r>
      </w:hyperlink>
    </w:p>
    <w:p w14:paraId="2FBFF400" w14:textId="77777777" w:rsidR="00327590" w:rsidRPr="009B2C31" w:rsidRDefault="006C5AE2">
      <w:pPr>
        <w:pStyle w:val="Heading3"/>
        <w:rPr>
          <w:lang w:val="en-GB"/>
        </w:rPr>
      </w:pPr>
      <w:bookmarkStart w:id="13" w:name="_Toc26868476"/>
      <w:r w:rsidRPr="009B2C31">
        <w:rPr>
          <w:rFonts w:eastAsia="Arial Unicode MS" w:cs="Arial Unicode MS"/>
          <w:lang w:val="en-GB"/>
        </w:rPr>
        <w:t>Population</w:t>
      </w:r>
      <w:bookmarkEnd w:id="13"/>
    </w:p>
    <w:p w14:paraId="72005FDD" w14:textId="67FF1CFF" w:rsidR="00327590" w:rsidRPr="009B2C31" w:rsidRDefault="006C5AE2">
      <w:pPr>
        <w:pStyle w:val="Body"/>
        <w:rPr>
          <w:lang w:val="en-GB"/>
        </w:rPr>
      </w:pPr>
      <w:r w:rsidRPr="009B2C31">
        <w:rPr>
          <w:lang w:val="en-GB"/>
        </w:rPr>
        <w:t xml:space="preserve">The source of the population data used in RIKS </w:t>
      </w:r>
      <w:r w:rsidR="00557803">
        <w:rPr>
          <w:lang w:val="en-GB"/>
        </w:rPr>
        <w:t>is</w:t>
      </w:r>
      <w:r w:rsidRPr="009B2C31">
        <w:rPr>
          <w:lang w:val="en-GB"/>
        </w:rPr>
        <w:t xml:space="preserve"> the World Development Indicators constructed </w:t>
      </w:r>
      <w:r w:rsidR="00557803">
        <w:rPr>
          <w:lang w:val="en-GB"/>
        </w:rPr>
        <w:t>by</w:t>
      </w:r>
      <w:r w:rsidRPr="009B2C31">
        <w:rPr>
          <w:lang w:val="en-GB"/>
        </w:rPr>
        <w:t xml:space="preserve"> the World Bank. </w:t>
      </w:r>
      <w:r w:rsidR="00A851E5">
        <w:rPr>
          <w:lang w:val="en-GB"/>
        </w:rPr>
        <w:t xml:space="preserve">It is reported in 1000 people. </w:t>
      </w:r>
    </w:p>
    <w:p w14:paraId="136AA683" w14:textId="77777777" w:rsidR="00327590" w:rsidRPr="009B2C31" w:rsidRDefault="00542058">
      <w:pPr>
        <w:pStyle w:val="Body"/>
        <w:rPr>
          <w:lang w:val="en-GB"/>
        </w:rPr>
      </w:pPr>
      <w:hyperlink r:id="rId19" w:history="1">
        <w:r w:rsidR="006C5AE2" w:rsidRPr="009B2C31">
          <w:rPr>
            <w:rStyle w:val="Hyperlink0"/>
            <w:lang w:val="en-GB"/>
          </w:rPr>
          <w:t>https://datacatalog.worldbank.org/dataset/world-development-indicators</w:t>
        </w:r>
      </w:hyperlink>
    </w:p>
    <w:p w14:paraId="7D82A190" w14:textId="77777777" w:rsidR="00327590" w:rsidRPr="009B2C31" w:rsidRDefault="006C5AE2">
      <w:pPr>
        <w:pStyle w:val="Heading3"/>
        <w:rPr>
          <w:lang w:val="en-GB"/>
        </w:rPr>
      </w:pPr>
      <w:bookmarkStart w:id="14" w:name="_Toc26868477"/>
      <w:r w:rsidRPr="009B2C31">
        <w:rPr>
          <w:rFonts w:eastAsia="Arial Unicode MS" w:cs="Arial Unicode MS"/>
          <w:lang w:val="en-GB"/>
        </w:rPr>
        <w:t>GDP</w:t>
      </w:r>
      <w:bookmarkEnd w:id="14"/>
    </w:p>
    <w:p w14:paraId="177D1770" w14:textId="0E76CC7E" w:rsidR="00327590" w:rsidRPr="009B2C31" w:rsidRDefault="006C5AE2">
      <w:pPr>
        <w:pStyle w:val="Body"/>
        <w:rPr>
          <w:lang w:val="en-GB"/>
        </w:rPr>
      </w:pPr>
      <w:r w:rsidRPr="009B2C31">
        <w:rPr>
          <w:lang w:val="en-GB"/>
        </w:rPr>
        <w:t xml:space="preserve">The source of the GDP data used in RIKS </w:t>
      </w:r>
      <w:r w:rsidR="00557803">
        <w:rPr>
          <w:lang w:val="en-GB"/>
        </w:rPr>
        <w:t>is</w:t>
      </w:r>
      <w:r w:rsidRPr="009B2C31">
        <w:rPr>
          <w:lang w:val="en-GB"/>
        </w:rPr>
        <w:t xml:space="preserve"> the World Development Indicators constructed </w:t>
      </w:r>
      <w:r w:rsidR="00557803">
        <w:rPr>
          <w:lang w:val="en-GB"/>
        </w:rPr>
        <w:t>by</w:t>
      </w:r>
      <w:r w:rsidRPr="009B2C31">
        <w:rPr>
          <w:lang w:val="en-GB"/>
        </w:rPr>
        <w:t xml:space="preserve"> the World Bank. </w:t>
      </w:r>
      <w:r w:rsidR="009A2DB7">
        <w:rPr>
          <w:lang w:val="en-GB"/>
        </w:rPr>
        <w:t xml:space="preserve">It is </w:t>
      </w:r>
      <w:r w:rsidR="00A851E5">
        <w:rPr>
          <w:lang w:val="en-GB"/>
        </w:rPr>
        <w:t>reported</w:t>
      </w:r>
      <w:r w:rsidR="009A2DB7">
        <w:rPr>
          <w:lang w:val="en-GB"/>
        </w:rPr>
        <w:t xml:space="preserve"> in million </w:t>
      </w:r>
      <w:r w:rsidR="00A851E5">
        <w:rPr>
          <w:lang w:val="en-GB"/>
        </w:rPr>
        <w:t xml:space="preserve">current </w:t>
      </w:r>
      <w:r w:rsidR="009A2DB7">
        <w:rPr>
          <w:lang w:val="en-GB"/>
        </w:rPr>
        <w:t xml:space="preserve">USD. </w:t>
      </w:r>
    </w:p>
    <w:p w14:paraId="34F8DC8F" w14:textId="77777777" w:rsidR="00327590" w:rsidRPr="009B2C31" w:rsidRDefault="00542058">
      <w:pPr>
        <w:pStyle w:val="Body"/>
        <w:rPr>
          <w:lang w:val="en-GB"/>
        </w:rPr>
      </w:pPr>
      <w:hyperlink r:id="rId20" w:history="1">
        <w:r w:rsidR="006C5AE2" w:rsidRPr="009B2C31">
          <w:rPr>
            <w:rStyle w:val="Hyperlink0"/>
            <w:lang w:val="en-GB"/>
          </w:rPr>
          <w:t>See https://datacatalog.worldbank.org/dataset/world-development-indicators</w:t>
        </w:r>
      </w:hyperlink>
    </w:p>
    <w:p w14:paraId="4A322E9E" w14:textId="77777777" w:rsidR="00327590" w:rsidRPr="009B2C31" w:rsidRDefault="006C5AE2">
      <w:pPr>
        <w:pStyle w:val="Heading3"/>
        <w:rPr>
          <w:lang w:val="en-GB"/>
        </w:rPr>
      </w:pPr>
      <w:bookmarkStart w:id="15" w:name="_Toc26868478"/>
      <w:r w:rsidRPr="009B2C31">
        <w:rPr>
          <w:rFonts w:eastAsia="Arial Unicode MS" w:cs="Arial Unicode MS"/>
          <w:lang w:val="en-GB"/>
        </w:rPr>
        <w:lastRenderedPageBreak/>
        <w:t>HDI</w:t>
      </w:r>
      <w:bookmarkEnd w:id="15"/>
    </w:p>
    <w:p w14:paraId="023346FB" w14:textId="4B05075F" w:rsidR="00327590" w:rsidRPr="009B2C31" w:rsidRDefault="006C5AE2">
      <w:pPr>
        <w:pStyle w:val="Body"/>
        <w:rPr>
          <w:lang w:val="en-GB"/>
        </w:rPr>
      </w:pPr>
      <w:r w:rsidRPr="009B2C31">
        <w:rPr>
          <w:lang w:val="en-GB"/>
        </w:rPr>
        <w:t xml:space="preserve">The source of the human development indicator data used in RIKS </w:t>
      </w:r>
      <w:r w:rsidR="009D42E1">
        <w:rPr>
          <w:lang w:val="en-GB"/>
        </w:rPr>
        <w:t xml:space="preserve">come from </w:t>
      </w:r>
      <w:r w:rsidRPr="009B2C31">
        <w:rPr>
          <w:lang w:val="en-GB"/>
        </w:rPr>
        <w:t xml:space="preserve">the </w:t>
      </w:r>
      <w:r w:rsidR="009D42E1">
        <w:rPr>
          <w:lang w:val="en-GB"/>
        </w:rPr>
        <w:t>United Nations Development Programme’s website</w:t>
      </w:r>
      <w:r w:rsidRPr="009B2C31">
        <w:rPr>
          <w:lang w:val="en-GB"/>
        </w:rPr>
        <w:t>.</w:t>
      </w:r>
    </w:p>
    <w:p w14:paraId="74CB5C4D" w14:textId="466812BA" w:rsidR="006C27D0" w:rsidRDefault="00542058" w:rsidP="006C27D0">
      <w:pPr>
        <w:pStyle w:val="Body"/>
        <w:rPr>
          <w:rStyle w:val="Hyperlink"/>
        </w:rPr>
      </w:pPr>
      <w:hyperlink r:id="rId21" w:history="1">
        <w:r w:rsidR="005F056F" w:rsidRPr="005F056F">
          <w:rPr>
            <w:rStyle w:val="Hyperlink"/>
          </w:rPr>
          <w:t>http://hdr.undp.org/en/content/human-development-index-hdi</w:t>
        </w:r>
      </w:hyperlink>
    </w:p>
    <w:p w14:paraId="21A33DF1" w14:textId="77777777" w:rsidR="000050B8" w:rsidRPr="005F056F" w:rsidRDefault="000050B8" w:rsidP="006C27D0">
      <w:pPr>
        <w:pStyle w:val="Body"/>
      </w:pPr>
    </w:p>
    <w:p w14:paraId="690C52C0" w14:textId="77777777" w:rsidR="00327590" w:rsidRPr="009B2C31" w:rsidRDefault="006C5AE2">
      <w:pPr>
        <w:pStyle w:val="Heading2"/>
        <w:rPr>
          <w:lang w:val="en-GB"/>
        </w:rPr>
      </w:pPr>
      <w:bookmarkStart w:id="16" w:name="_Toc26868479"/>
      <w:r w:rsidRPr="009B2C31">
        <w:rPr>
          <w:rFonts w:eastAsia="Arial Unicode MS" w:cs="Arial Unicode MS"/>
          <w:lang w:val="en-GB"/>
        </w:rPr>
        <w:t>Indicators of regional integration intensity</w:t>
      </w:r>
      <w:bookmarkEnd w:id="16"/>
    </w:p>
    <w:p w14:paraId="18CF8790"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 xml:space="preserve">Total flows (TT, TM, TI)  </w:t>
      </w:r>
    </w:p>
    <w:p w14:paraId="6C9063CB"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b/>
          <w:bCs/>
          <w:color w:val="000000"/>
          <w:sz w:val="22"/>
          <w:szCs w:val="22"/>
        </w:rPr>
      </w:pPr>
      <w:r>
        <w:rPr>
          <w:rFonts w:ascii="Helvetica Neue" w:hAnsi="Helvetica Neue" w:cs="Helvetica Neue"/>
          <w:b/>
          <w:bCs/>
          <w:color w:val="000000"/>
          <w:sz w:val="22"/>
          <w:szCs w:val="22"/>
        </w:rPr>
        <w:t xml:space="preserve">Definition </w:t>
      </w:r>
    </w:p>
    <w:p w14:paraId="7A5163B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all trade (TT), migration (TM), or investment flows (TI) from the countries belonging to a particular regional arrangement.</w:t>
      </w:r>
    </w:p>
    <w:p w14:paraId="1F6A94BC" w14:textId="77777777" w:rsidR="00FA6816" w:rsidRDefault="00FA6816" w:rsidP="006C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center"/>
        <w:rPr>
          <w:rFonts w:ascii="Helvetica Neue" w:hAnsi="Helvetica Neue" w:cs="Helvetica Neue"/>
          <w:color w:val="000000"/>
          <w:sz w:val="22"/>
          <w:szCs w:val="22"/>
        </w:rPr>
      </w:pPr>
      <w:r>
        <w:rPr>
          <w:rFonts w:ascii="Helvetica Neue" w:hAnsi="Helvetica Neue" w:cs="Helvetica Neue"/>
          <w:noProof/>
          <w:color w:val="000000"/>
          <w:position w:val="-31"/>
          <w:sz w:val="22"/>
          <w:szCs w:val="22"/>
        </w:rPr>
        <w:drawing>
          <wp:inline distT="0" distB="0" distL="0" distR="0" wp14:anchorId="5C3E5EFA" wp14:editId="5FCE7DB3">
            <wp:extent cx="4683760" cy="3295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3760" cy="329565"/>
                    </a:xfrm>
                    <a:prstGeom prst="rect">
                      <a:avLst/>
                    </a:prstGeom>
                    <a:noFill/>
                    <a:ln>
                      <a:noFill/>
                    </a:ln>
                  </pic:spPr>
                </pic:pic>
              </a:graphicData>
            </a:graphic>
          </wp:inline>
        </w:drawing>
      </w:r>
    </w:p>
    <w:p w14:paraId="56D8A785"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 xml:space="preserve">where </w:t>
      </w:r>
      <w:r>
        <w:rPr>
          <w:rFonts w:ascii="Helvetica Neue" w:hAnsi="Helvetica Neue" w:cs="Helvetica Neue"/>
          <w:noProof/>
          <w:color w:val="000000"/>
          <w:position w:val="-9"/>
          <w:sz w:val="22"/>
          <w:szCs w:val="22"/>
        </w:rPr>
        <w:drawing>
          <wp:inline distT="0" distB="0" distL="0" distR="0" wp14:anchorId="0FB936EA" wp14:editId="4F7C5E49">
            <wp:extent cx="1026160" cy="1555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6160" cy="155575"/>
                    </a:xfrm>
                    <a:prstGeom prst="rect">
                      <a:avLst/>
                    </a:prstGeom>
                    <a:noFill/>
                    <a:ln>
                      <a:noFill/>
                    </a:ln>
                  </pic:spPr>
                </pic:pic>
              </a:graphicData>
            </a:graphic>
          </wp:inline>
        </w:drawing>
      </w:r>
      <w:r>
        <w:rPr>
          <w:rFonts w:ascii="Helvetica Neue" w:hAnsi="Helvetica Neue" w:cs="Helvetica Neue"/>
          <w:color w:val="000000"/>
          <w:sz w:val="22"/>
          <w:szCs w:val="22"/>
        </w:rPr>
        <w:t xml:space="preserve"> represent the flow of trade, migration, and investment between country </w:t>
      </w:r>
      <w:r>
        <w:rPr>
          <w:rFonts w:ascii="Helvetica Neue" w:hAnsi="Helvetica Neue" w:cs="Helvetica Neue"/>
          <w:noProof/>
          <w:color w:val="000000"/>
          <w:position w:val="-1"/>
          <w:sz w:val="22"/>
          <w:szCs w:val="22"/>
        </w:rPr>
        <w:drawing>
          <wp:inline distT="0" distB="0" distL="0" distR="0" wp14:anchorId="713A07F5" wp14:editId="5A50425B">
            <wp:extent cx="24765" cy="86995"/>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 cy="86995"/>
                    </a:xfrm>
                    <a:prstGeom prst="rect">
                      <a:avLst/>
                    </a:prstGeom>
                    <a:noFill/>
                    <a:ln>
                      <a:noFill/>
                    </a:ln>
                  </pic:spPr>
                </pic:pic>
              </a:graphicData>
            </a:graphic>
          </wp:inline>
        </w:drawing>
      </w:r>
      <w:r>
        <w:rPr>
          <w:rFonts w:ascii="Helvetica Neue" w:hAnsi="Helvetica Neue" w:cs="Helvetica Neue"/>
          <w:color w:val="000000"/>
          <w:sz w:val="22"/>
          <w:szCs w:val="22"/>
        </w:rPr>
        <w:t xml:space="preserve"> and country </w:t>
      </w:r>
      <w:r>
        <w:rPr>
          <w:rFonts w:ascii="Helvetica Neue" w:hAnsi="Helvetica Neue" w:cs="Helvetica Neue"/>
          <w:noProof/>
          <w:color w:val="000000"/>
          <w:position w:val="-5"/>
          <w:sz w:val="22"/>
          <w:szCs w:val="22"/>
        </w:rPr>
        <w:drawing>
          <wp:inline distT="0" distB="0" distL="0" distR="0" wp14:anchorId="540E7CBE" wp14:editId="4AD45D24">
            <wp:extent cx="49530" cy="111760"/>
            <wp:effectExtent l="0" t="0" r="127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 cy="111760"/>
                    </a:xfrm>
                    <a:prstGeom prst="rect">
                      <a:avLst/>
                    </a:prstGeom>
                    <a:noFill/>
                    <a:ln>
                      <a:noFill/>
                    </a:ln>
                  </pic:spPr>
                </pic:pic>
              </a:graphicData>
            </a:graphic>
          </wp:inline>
        </w:drawing>
      </w:r>
      <w:r>
        <w:rPr>
          <w:rFonts w:ascii="Helvetica Neue" w:hAnsi="Helvetica Neue" w:cs="Helvetica Neue"/>
          <w:color w:val="000000"/>
          <w:sz w:val="22"/>
          <w:szCs w:val="22"/>
        </w:rPr>
        <w:t xml:space="preserve"> at time </w:t>
      </w:r>
      <w:r>
        <w:rPr>
          <w:rFonts w:ascii="Helvetica Neue" w:hAnsi="Helvetica Neue" w:cs="Helvetica Neue"/>
          <w:noProof/>
          <w:color w:val="000000"/>
          <w:position w:val="-1"/>
          <w:sz w:val="22"/>
          <w:szCs w:val="22"/>
        </w:rPr>
        <w:drawing>
          <wp:inline distT="0" distB="0" distL="0" distR="0" wp14:anchorId="5005F8EE" wp14:editId="102BADE9">
            <wp:extent cx="37465" cy="74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465" cy="74930"/>
                    </a:xfrm>
                    <a:prstGeom prst="rect">
                      <a:avLst/>
                    </a:prstGeom>
                    <a:noFill/>
                    <a:ln>
                      <a:noFill/>
                    </a:ln>
                  </pic:spPr>
                </pic:pic>
              </a:graphicData>
            </a:graphic>
          </wp:inline>
        </w:drawing>
      </w:r>
      <w:r>
        <w:rPr>
          <w:rFonts w:ascii="Helvetica Neue" w:hAnsi="Helvetica Neue" w:cs="Helvetica Neue"/>
          <w:color w:val="000000"/>
          <w:sz w:val="22"/>
          <w:szCs w:val="22"/>
        </w:rPr>
        <w:t>.</w:t>
      </w:r>
    </w:p>
    <w:p w14:paraId="509F6E2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Intra-regional flows (IT, IM, II)</w:t>
      </w:r>
    </w:p>
    <w:p w14:paraId="0F50FFDF"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b/>
          <w:bCs/>
          <w:color w:val="000000"/>
          <w:sz w:val="22"/>
          <w:szCs w:val="22"/>
        </w:rPr>
        <w:t>Definition</w:t>
      </w:r>
    </w:p>
    <w:p w14:paraId="3174C89B"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the trade (IT), migration (IM), or investment flows (II) flowing between the countries belonging to a particular regional arrangement.</w:t>
      </w:r>
    </w:p>
    <w:p w14:paraId="6840BDCB" w14:textId="77777777" w:rsidR="00FA6816" w:rsidRDefault="00FA6816" w:rsidP="006C27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60" w:line="360" w:lineRule="auto"/>
        <w:jc w:val="center"/>
        <w:rPr>
          <w:rFonts w:ascii="Helvetica Neue" w:hAnsi="Helvetica Neue" w:cs="Helvetica Neue"/>
          <w:color w:val="000000"/>
          <w:sz w:val="22"/>
          <w:szCs w:val="22"/>
        </w:rPr>
      </w:pPr>
      <w:r>
        <w:rPr>
          <w:rFonts w:ascii="Helvetica Neue" w:hAnsi="Helvetica Neue" w:cs="Helvetica Neue"/>
          <w:noProof/>
          <w:color w:val="000000"/>
          <w:position w:val="-31"/>
          <w:sz w:val="22"/>
          <w:szCs w:val="22"/>
        </w:rPr>
        <w:drawing>
          <wp:inline distT="0" distB="0" distL="0" distR="0" wp14:anchorId="76BB8940" wp14:editId="138D52A4">
            <wp:extent cx="4765040" cy="3295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5040" cy="329565"/>
                    </a:xfrm>
                    <a:prstGeom prst="rect">
                      <a:avLst/>
                    </a:prstGeom>
                    <a:noFill/>
                    <a:ln>
                      <a:noFill/>
                    </a:ln>
                  </pic:spPr>
                </pic:pic>
              </a:graphicData>
            </a:graphic>
          </wp:inline>
        </w:drawing>
      </w:r>
    </w:p>
    <w:p w14:paraId="16BE0CA2"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line="288" w:lineRule="auto"/>
        <w:rPr>
          <w:rFonts w:ascii="Helvetica Neue" w:hAnsi="Helvetica Neue" w:cs="Helvetica Neue"/>
          <w:i/>
          <w:iCs/>
          <w:color w:val="000000"/>
          <w:spacing w:val="5"/>
          <w:kern w:val="1"/>
          <w:sz w:val="28"/>
          <w:szCs w:val="28"/>
        </w:rPr>
      </w:pPr>
      <w:r>
        <w:rPr>
          <w:rFonts w:ascii="Helvetica Neue" w:hAnsi="Helvetica Neue" w:cs="Helvetica Neue"/>
          <w:i/>
          <w:iCs/>
          <w:color w:val="000000"/>
          <w:spacing w:val="5"/>
          <w:kern w:val="1"/>
          <w:sz w:val="28"/>
          <w:szCs w:val="28"/>
        </w:rPr>
        <w:t>Extra-regional flows (ET, EM, EI)</w:t>
      </w:r>
    </w:p>
    <w:p w14:paraId="13F76E4F"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b/>
          <w:bCs/>
          <w:color w:val="000000"/>
          <w:sz w:val="22"/>
          <w:szCs w:val="22"/>
        </w:rPr>
        <w:t>Definition</w:t>
      </w:r>
    </w:p>
    <w:p w14:paraId="164F7CCE" w14:textId="77777777" w:rsidR="00FA6816" w:rsidRDefault="00FA6816" w:rsidP="00FA68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Helvetica Neue" w:hAnsi="Helvetica Neue" w:cs="Helvetica Neue"/>
          <w:color w:val="000000"/>
          <w:sz w:val="22"/>
          <w:szCs w:val="22"/>
        </w:rPr>
      </w:pPr>
      <w:r>
        <w:rPr>
          <w:rFonts w:ascii="Helvetica Neue" w:hAnsi="Helvetica Neue" w:cs="Helvetica Neue"/>
          <w:color w:val="000000"/>
          <w:sz w:val="22"/>
          <w:szCs w:val="22"/>
        </w:rPr>
        <w:t>The sum of the trade (ET), migration (EM), or investment flows (EI) between a country belonging to a particular regional arrangement to a country that is not</w:t>
      </w:r>
      <w:r w:rsidR="00844F94">
        <w:rPr>
          <w:rFonts w:ascii="Helvetica Neue" w:hAnsi="Helvetica Neue" w:cs="Helvetica Neue"/>
          <w:color w:val="000000"/>
          <w:sz w:val="22"/>
          <w:szCs w:val="22"/>
        </w:rPr>
        <w:t xml:space="preserve"> a</w:t>
      </w:r>
      <w:r>
        <w:rPr>
          <w:rFonts w:ascii="Helvetica Neue" w:hAnsi="Helvetica Neue" w:cs="Helvetica Neue"/>
          <w:color w:val="000000"/>
          <w:sz w:val="22"/>
          <w:szCs w:val="22"/>
        </w:rPr>
        <w:t xml:space="preserve"> member of the agreement.</w:t>
      </w:r>
    </w:p>
    <w:p w14:paraId="527CC0BF" w14:textId="4928C4EA" w:rsidR="006C27D0" w:rsidRDefault="00FA6816" w:rsidP="006C27D0">
      <w:pPr>
        <w:pStyle w:val="Body"/>
        <w:jc w:val="center"/>
        <w:rPr>
          <w:lang w:val="en-GB"/>
        </w:rPr>
      </w:pPr>
      <w:r>
        <w:rPr>
          <w:rFonts w:cs="Helvetica Neue"/>
          <w:noProof/>
          <w:position w:val="-31"/>
        </w:rPr>
        <w:drawing>
          <wp:inline distT="0" distB="0" distL="0" distR="0" wp14:anchorId="2FA810C1" wp14:editId="5D979846">
            <wp:extent cx="4765040" cy="329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5040" cy="329565"/>
                    </a:xfrm>
                    <a:prstGeom prst="rect">
                      <a:avLst/>
                    </a:prstGeom>
                    <a:noFill/>
                    <a:ln>
                      <a:noFill/>
                    </a:ln>
                  </pic:spPr>
                </pic:pic>
              </a:graphicData>
            </a:graphic>
          </wp:inline>
        </w:drawing>
      </w:r>
      <w:bookmarkStart w:id="17" w:name="_Toc26868480"/>
    </w:p>
    <w:p w14:paraId="3C1720A5" w14:textId="537F25BA" w:rsidR="006C27D0" w:rsidRDefault="006C27D0" w:rsidP="006C27D0">
      <w:pPr>
        <w:pStyle w:val="Body"/>
        <w:rPr>
          <w:lang w:val="en-GB"/>
        </w:rPr>
      </w:pPr>
    </w:p>
    <w:p w14:paraId="52314F06" w14:textId="77777777" w:rsidR="000050B8" w:rsidRDefault="000050B8">
      <w:pPr>
        <w:pStyle w:val="Heading3"/>
        <w:rPr>
          <w:rFonts w:eastAsia="Arial Unicode MS" w:cs="Arial Unicode MS"/>
          <w:lang w:val="en-GB"/>
        </w:rPr>
      </w:pPr>
    </w:p>
    <w:p w14:paraId="2C13CC21" w14:textId="7FB15C5D" w:rsidR="00327590" w:rsidRPr="009B2C31" w:rsidRDefault="000050B8">
      <w:pPr>
        <w:pStyle w:val="Heading3"/>
        <w:rPr>
          <w:lang w:val="en-GB"/>
        </w:rPr>
      </w:pPr>
      <w:r>
        <w:rPr>
          <w:rFonts w:eastAsia="Arial Unicode MS" w:cs="Arial Unicode MS"/>
          <w:lang w:val="en-GB"/>
        </w:rPr>
        <w:t>I</w:t>
      </w:r>
      <w:r w:rsidR="006C5AE2" w:rsidRPr="009B2C31">
        <w:rPr>
          <w:rFonts w:eastAsia="Arial Unicode MS" w:cs="Arial Unicode MS"/>
          <w:lang w:val="en-GB"/>
        </w:rPr>
        <w:t>ntra-regional share (ITS, IMS, IIS)</w:t>
      </w:r>
      <w:bookmarkEnd w:id="17"/>
    </w:p>
    <w:p w14:paraId="0E8ACB5C" w14:textId="77777777" w:rsidR="00327590" w:rsidRPr="009B2C31" w:rsidRDefault="006C5AE2">
      <w:pPr>
        <w:pStyle w:val="Body"/>
        <w:rPr>
          <w:lang w:val="en-GB"/>
        </w:rPr>
      </w:pPr>
      <w:r w:rsidRPr="009B2C31">
        <w:rPr>
          <w:b/>
          <w:bCs/>
          <w:lang w:val="en-GB"/>
        </w:rPr>
        <w:t>Definition</w:t>
      </w:r>
      <w:r w:rsidRPr="009B2C31">
        <w:rPr>
          <w:lang w:val="en-GB"/>
        </w:rPr>
        <w:t xml:space="preserve"> </w:t>
      </w:r>
    </w:p>
    <w:p w14:paraId="7DA849D5" w14:textId="77777777" w:rsidR="00327590" w:rsidRPr="009B2C31" w:rsidRDefault="006C5AE2">
      <w:pPr>
        <w:pStyle w:val="Body"/>
        <w:rPr>
          <w:lang w:val="en-GB"/>
        </w:rPr>
      </w:pPr>
      <w:r w:rsidRPr="009B2C31">
        <w:rPr>
          <w:lang w:val="en-GB"/>
        </w:rPr>
        <w:t>The intra-regional trade (ITS), migration (IMS) and investment shares (IIS) are the ratio</w:t>
      </w:r>
      <w:r w:rsidR="00844F94">
        <w:rPr>
          <w:lang w:val="en-GB"/>
        </w:rPr>
        <w:t>s</w:t>
      </w:r>
      <w:r w:rsidRPr="009B2C31">
        <w:rPr>
          <w:lang w:val="en-GB"/>
        </w:rPr>
        <w:t xml:space="preserve"> of the intra-regional flows (IT, IM, or IS) and the total flows (TT, TM, or TI). </w:t>
      </w:r>
    </w:p>
    <w:p w14:paraId="3C25602C" w14:textId="3FD203B9" w:rsidR="00327590" w:rsidRPr="006C27D0" w:rsidRDefault="006C5AE2">
      <w:pPr>
        <w:pStyle w:val="Body"/>
        <w:rPr>
          <w:lang w:val="en-GB"/>
        </w:rPr>
      </w:pPr>
      <m:oMathPara>
        <m:oMathParaPr>
          <m:jc m:val="center"/>
        </m:oMathParaPr>
        <m:oMath>
          <m:r>
            <w:rPr>
              <w:rFonts w:ascii="Cambria Math" w:hAnsi="Cambria Math"/>
              <w:sz w:val="25"/>
              <w:szCs w:val="25"/>
              <w:lang w:val="en-GB"/>
            </w:rPr>
            <m:t>IT</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i,t</m:t>
                  </m:r>
                </m:sub>
              </m:sSub>
            </m:den>
          </m:f>
          <m:r>
            <w:rPr>
              <w:rFonts w:ascii="Cambria Math" w:hAnsi="Cambria Math"/>
              <w:sz w:val="25"/>
              <w:szCs w:val="25"/>
              <w:lang w:val="en-GB"/>
            </w:rPr>
            <m:t>;    IM</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i,t</m:t>
                  </m:r>
                </m:sub>
              </m:sSub>
            </m:den>
          </m:f>
          <m:r>
            <w:rPr>
              <w:rFonts w:ascii="Cambria Math" w:hAnsi="Cambria Math"/>
              <w:sz w:val="25"/>
              <w:szCs w:val="25"/>
              <w:lang w:val="en-GB"/>
            </w:rPr>
            <m:t>;     II</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=100</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den>
          </m:f>
          <m:r>
            <w:rPr>
              <w:rFonts w:ascii="Cambria Math" w:hAnsi="Cambria Math"/>
              <w:sz w:val="25"/>
              <w:szCs w:val="25"/>
              <w:lang w:val="en-GB"/>
            </w:rPr>
            <m:t>.</m:t>
          </m:r>
        </m:oMath>
      </m:oMathPara>
    </w:p>
    <w:p w14:paraId="00E75221" w14:textId="77777777" w:rsidR="00327590" w:rsidRPr="009B2C31" w:rsidRDefault="00327590">
      <w:pPr>
        <w:pStyle w:val="Body"/>
        <w:rPr>
          <w:lang w:val="en-GB"/>
        </w:rPr>
      </w:pPr>
    </w:p>
    <w:p w14:paraId="45465CCF" w14:textId="77777777" w:rsidR="00327590" w:rsidRPr="009B2C31" w:rsidRDefault="006C5AE2">
      <w:pPr>
        <w:pStyle w:val="Body"/>
        <w:rPr>
          <w:b/>
          <w:bCs/>
          <w:lang w:val="en-GB"/>
        </w:rPr>
      </w:pPr>
      <w:r w:rsidRPr="009B2C31">
        <w:rPr>
          <w:b/>
          <w:bCs/>
          <w:lang w:val="en-GB"/>
        </w:rPr>
        <w:t xml:space="preserve">Range of values </w:t>
      </w:r>
    </w:p>
    <w:p w14:paraId="37633A1B" w14:textId="77777777" w:rsidR="00327590" w:rsidRPr="009B2C31" w:rsidRDefault="006C5AE2">
      <w:pPr>
        <w:pStyle w:val="Body"/>
        <w:rPr>
          <w:lang w:val="en-GB"/>
        </w:rPr>
      </w:pPr>
      <w:r w:rsidRPr="009B2C31">
        <w:rPr>
          <w:lang w:val="en-GB"/>
        </w:rPr>
        <w:t>The value ranges from 0</w:t>
      </w:r>
      <w:r w:rsidR="009574D2">
        <w:rPr>
          <w:lang w:val="en-GB"/>
        </w:rPr>
        <w:t>%</w:t>
      </w:r>
      <w:r w:rsidRPr="009B2C31">
        <w:rPr>
          <w:lang w:val="en-GB"/>
        </w:rPr>
        <w:t xml:space="preserve"> to 100</w:t>
      </w:r>
      <w:r w:rsidR="009574D2">
        <w:rPr>
          <w:lang w:val="en-GB"/>
        </w:rPr>
        <w:t>%</w:t>
      </w:r>
      <w:r w:rsidRPr="009B2C31">
        <w:rPr>
          <w:lang w:val="en-GB"/>
        </w:rPr>
        <w:t>.</w:t>
      </w:r>
    </w:p>
    <w:p w14:paraId="74B8F8FE" w14:textId="77777777" w:rsidR="00327590" w:rsidRPr="009B2C31" w:rsidRDefault="00327590">
      <w:pPr>
        <w:pStyle w:val="Body"/>
        <w:rPr>
          <w:lang w:val="en-GB"/>
        </w:rPr>
      </w:pPr>
    </w:p>
    <w:p w14:paraId="77352AA5" w14:textId="77777777" w:rsidR="00327590" w:rsidRPr="009B2C31" w:rsidRDefault="006C5AE2">
      <w:pPr>
        <w:pStyle w:val="Body"/>
        <w:rPr>
          <w:b/>
          <w:bCs/>
          <w:lang w:val="en-GB"/>
        </w:rPr>
      </w:pPr>
      <w:r w:rsidRPr="009B2C31">
        <w:rPr>
          <w:b/>
          <w:bCs/>
          <w:lang w:val="en-GB"/>
        </w:rPr>
        <w:t>Interpretation of results</w:t>
      </w:r>
    </w:p>
    <w:p w14:paraId="4DB1FE3E" w14:textId="77777777" w:rsidR="00327590" w:rsidRPr="009B2C31" w:rsidRDefault="006C5AE2">
      <w:pPr>
        <w:pStyle w:val="Body"/>
        <w:rPr>
          <w:lang w:val="en-GB"/>
        </w:rPr>
      </w:pPr>
      <w:r w:rsidRPr="009B2C31">
        <w:rPr>
          <w:lang w:val="en-GB"/>
        </w:rPr>
        <w:t xml:space="preserve">This indicator reflects how </w:t>
      </w:r>
      <w:r w:rsidR="00844F94">
        <w:rPr>
          <w:lang w:val="en-GB"/>
        </w:rPr>
        <w:t>vital</w:t>
      </w:r>
      <w:r w:rsidRPr="009B2C31">
        <w:rPr>
          <w:lang w:val="en-GB"/>
        </w:rPr>
        <w:t xml:space="preserve"> the intra-regional flows of a particular regional arrangement are relative to its overall trade. It measures the interdependence among member states of a particular regional arrangement from the perspective of international trade, migration or investment.</w:t>
      </w:r>
    </w:p>
    <w:p w14:paraId="40736591" w14:textId="77777777" w:rsidR="00327590" w:rsidRPr="009B2C31" w:rsidRDefault="006C5AE2">
      <w:pPr>
        <w:pStyle w:val="Heading3"/>
        <w:rPr>
          <w:lang w:val="en-GB"/>
        </w:rPr>
      </w:pPr>
      <w:bookmarkStart w:id="18" w:name="_Toc26868481"/>
      <w:r w:rsidRPr="009B2C31">
        <w:rPr>
          <w:rFonts w:eastAsia="Arial Unicode MS" w:cs="Arial Unicode MS"/>
          <w:lang w:val="en-GB"/>
        </w:rPr>
        <w:t>Intra-regional intensity index (ITI, IMI, III)</w:t>
      </w:r>
      <w:bookmarkEnd w:id="18"/>
    </w:p>
    <w:p w14:paraId="260C4BBC" w14:textId="77777777" w:rsidR="00327590" w:rsidRPr="009B2C31" w:rsidRDefault="006C5AE2">
      <w:pPr>
        <w:pStyle w:val="Body"/>
        <w:rPr>
          <w:lang w:val="en-GB"/>
        </w:rPr>
      </w:pPr>
      <w:r w:rsidRPr="009B2C31">
        <w:rPr>
          <w:b/>
          <w:bCs/>
          <w:lang w:val="en-GB"/>
        </w:rPr>
        <w:t>Definition</w:t>
      </w:r>
      <w:r w:rsidRPr="009B2C31">
        <w:rPr>
          <w:lang w:val="en-GB"/>
        </w:rPr>
        <w:t xml:space="preserve"> </w:t>
      </w:r>
    </w:p>
    <w:p w14:paraId="40C23FE4" w14:textId="77777777" w:rsidR="00327590" w:rsidRPr="009B2C31" w:rsidRDefault="006C5AE2">
      <w:pPr>
        <w:pStyle w:val="Body"/>
        <w:rPr>
          <w:lang w:val="en-GB"/>
        </w:rPr>
      </w:pPr>
      <w:r w:rsidRPr="009B2C31">
        <w:rPr>
          <w:lang w:val="en-GB"/>
        </w:rPr>
        <w:t xml:space="preserve">The intra-regional trade (ITI), migration (IMI) and investment intensity index (III) are the ratio of the intra-regional shares divided by the region’s share in the world’s trade, migration or investment flows. </w:t>
      </w:r>
    </w:p>
    <w:p w14:paraId="7719EA70" w14:textId="7763DE47" w:rsidR="00327590" w:rsidRPr="006C27D0" w:rsidRDefault="006C5AE2">
      <w:pPr>
        <w:pStyle w:val="Body"/>
        <w:rPr>
          <w:lang w:val="en-GB"/>
        </w:rPr>
      </w:pPr>
      <m:oMathPara>
        <m:oMathParaPr>
          <m:jc m:val="center"/>
        </m:oMathParaPr>
        <m:oMath>
          <m:r>
            <w:rPr>
              <w:rFonts w:ascii="Cambria Math" w:hAnsi="Cambria Math"/>
              <w:sz w:val="25"/>
              <w:szCs w:val="25"/>
              <w:lang w:val="en-GB"/>
            </w:rPr>
            <m:t>IT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den>
          </m:f>
          <m:r>
            <w:rPr>
              <w:rFonts w:ascii="Cambria Math" w:hAnsi="Cambria Math"/>
              <w:sz w:val="25"/>
              <w:szCs w:val="25"/>
              <w:lang w:val="en-GB"/>
            </w:rPr>
            <m:t>;     IM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den>
          </m:f>
          <m:r>
            <w:rPr>
              <w:rFonts w:ascii="Cambria Math" w:hAnsi="Cambria Math"/>
              <w:sz w:val="25"/>
              <w:szCs w:val="25"/>
              <w:lang w:val="en-GB"/>
            </w:rPr>
            <m:t>;     II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den>
          </m:f>
          <m:r>
            <w:rPr>
              <w:rFonts w:ascii="Cambria Math" w:hAnsi="Cambria Math"/>
              <w:sz w:val="25"/>
              <w:szCs w:val="25"/>
              <w:lang w:val="en-GB"/>
            </w:rPr>
            <m:t>.</m:t>
          </m:r>
        </m:oMath>
      </m:oMathPara>
    </w:p>
    <w:p w14:paraId="3843B802" w14:textId="77777777" w:rsidR="00327590" w:rsidRPr="009B2C31" w:rsidRDefault="006C5AE2">
      <w:pPr>
        <w:pStyle w:val="Body"/>
        <w:rPr>
          <w:lang w:val="en-GB"/>
        </w:rPr>
      </w:pPr>
      <w:r w:rsidRPr="009B2C31">
        <w:rPr>
          <w:lang w:val="en-GB"/>
        </w:rPr>
        <w:t xml:space="preserve">Where </w:t>
      </w:r>
      <m:oMath>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oMath>
      <w:r w:rsidRPr="009B2C31">
        <w:rPr>
          <w:lang w:val="en-GB"/>
        </w:rPr>
        <w:t xml:space="preserve"> </w:t>
      </w:r>
      <w:r w:rsidR="00844F94">
        <w:rPr>
          <w:lang w:val="en-GB"/>
        </w:rPr>
        <w:t xml:space="preserve">and </w:t>
      </w:r>
      <m:oMath>
        <m:r>
          <w:rPr>
            <w:rFonts w:ascii="Cambria Math" w:hAnsi="Cambria Math"/>
            <w:sz w:val="25"/>
            <w:szCs w:val="25"/>
            <w:lang w:val="en-GB"/>
          </w:rPr>
          <m:t>W</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oMath>
      <w:r w:rsidR="00844F94">
        <w:rPr>
          <w:lang w:val="en-GB"/>
        </w:rPr>
        <w:t xml:space="preserve"> a</w:t>
      </w:r>
      <w:r w:rsidRPr="009B2C31">
        <w:rPr>
          <w:lang w:val="en-GB"/>
        </w:rPr>
        <w:t xml:space="preserve">re the world’s total trade, migration and investment flows in year </w:t>
      </w:r>
      <m:oMath>
        <m:r>
          <w:rPr>
            <w:rFonts w:ascii="Cambria Math" w:hAnsi="Cambria Math"/>
            <w:sz w:val="28"/>
            <w:szCs w:val="28"/>
            <w:lang w:val="en-GB"/>
          </w:rPr>
          <m:t>t</m:t>
        </m:r>
      </m:oMath>
      <w:r w:rsidRPr="009B2C31">
        <w:rPr>
          <w:lang w:val="en-GB"/>
        </w:rPr>
        <w:t xml:space="preserve">. </w:t>
      </w:r>
    </w:p>
    <w:p w14:paraId="18F6FF2B" w14:textId="77777777" w:rsidR="00327590" w:rsidRPr="009B2C31" w:rsidRDefault="00327590">
      <w:pPr>
        <w:pStyle w:val="Body"/>
        <w:rPr>
          <w:lang w:val="en-GB"/>
        </w:rPr>
      </w:pPr>
    </w:p>
    <w:p w14:paraId="56A7D150" w14:textId="77777777" w:rsidR="00327590" w:rsidRPr="009B2C31" w:rsidRDefault="006C5AE2">
      <w:pPr>
        <w:pStyle w:val="Body"/>
        <w:rPr>
          <w:b/>
          <w:bCs/>
          <w:lang w:val="en-GB"/>
        </w:rPr>
      </w:pPr>
      <w:r w:rsidRPr="009B2C31">
        <w:rPr>
          <w:b/>
          <w:bCs/>
          <w:lang w:val="en-GB"/>
        </w:rPr>
        <w:t xml:space="preserve">Range of values </w:t>
      </w:r>
    </w:p>
    <w:p w14:paraId="7F15C8D8" w14:textId="77777777" w:rsidR="00327590" w:rsidRPr="009B2C31" w:rsidRDefault="006C5AE2">
      <w:pPr>
        <w:pStyle w:val="Body"/>
        <w:rPr>
          <w:lang w:val="en-GB"/>
        </w:rPr>
      </w:pPr>
      <w:r w:rsidRPr="009B2C31">
        <w:rPr>
          <w:lang w:val="en-GB"/>
        </w:rPr>
        <w:t xml:space="preserve">The value ranges from 0 to </w:t>
      </w:r>
      <m:oMath>
        <m:f>
          <m:fPr>
            <m:ctrlPr>
              <w:rPr>
                <w:rFonts w:ascii="Cambria Math" w:hAnsi="Cambria Math"/>
                <w:i/>
                <w:sz w:val="26"/>
                <w:szCs w:val="26"/>
                <w:lang w:val="en-GB"/>
              </w:rPr>
            </m:ctrlPr>
          </m:fPr>
          <m:num>
            <m:sSub>
              <m:sSubPr>
                <m:ctrlPr>
                  <w:rPr>
                    <w:rFonts w:ascii="Cambria Math" w:hAnsi="Cambria Math"/>
                    <w:lang w:val="en-GB"/>
                  </w:rPr>
                </m:ctrlPr>
              </m:sSubPr>
              <m:e>
                <m:r>
                  <w:rPr>
                    <w:rFonts w:ascii="Cambria Math" w:hAnsi="Cambria Math"/>
                    <w:sz w:val="26"/>
                    <w:szCs w:val="26"/>
                    <w:lang w:val="en-GB"/>
                  </w:rPr>
                  <m:t>T</m:t>
                </m:r>
              </m:e>
              <m:sub>
                <m:r>
                  <w:rPr>
                    <w:rFonts w:ascii="Cambria Math" w:hAnsi="Cambria Math"/>
                    <w:sz w:val="26"/>
                    <w:szCs w:val="26"/>
                    <w:lang w:val="en-GB"/>
                  </w:rPr>
                  <m:t>w,t</m:t>
                </m:r>
              </m:sub>
            </m:sSub>
          </m:num>
          <m:den>
            <m:sSub>
              <m:sSubPr>
                <m:ctrlPr>
                  <w:rPr>
                    <w:rFonts w:ascii="Cambria Math" w:hAnsi="Cambria Math"/>
                    <w:lang w:val="en-GB"/>
                  </w:rPr>
                </m:ctrlPr>
              </m:sSubPr>
              <m:e>
                <m:r>
                  <w:rPr>
                    <w:rFonts w:ascii="Cambria Math" w:hAnsi="Cambria Math"/>
                    <w:sz w:val="26"/>
                    <w:szCs w:val="26"/>
                    <w:lang w:val="en-GB"/>
                  </w:rPr>
                  <m:t>T</m:t>
                </m:r>
              </m:e>
              <m:sub>
                <m:r>
                  <w:rPr>
                    <w:rFonts w:ascii="Cambria Math" w:hAnsi="Cambria Math"/>
                    <w:sz w:val="26"/>
                    <w:szCs w:val="26"/>
                    <w:lang w:val="en-GB"/>
                  </w:rPr>
                  <m:t>i,t</m:t>
                </m:r>
              </m:sub>
            </m:sSub>
          </m:den>
        </m:f>
      </m:oMath>
      <w:r w:rsidRPr="009B2C31">
        <w:rPr>
          <w:lang w:val="en-GB"/>
        </w:rPr>
        <w:t>.</w:t>
      </w:r>
    </w:p>
    <w:p w14:paraId="423ED02B" w14:textId="0CEB337C" w:rsidR="006C27D0" w:rsidRDefault="006C27D0">
      <w:pPr>
        <w:pStyle w:val="Body"/>
        <w:rPr>
          <w:b/>
          <w:bCs/>
          <w:lang w:val="en-GB"/>
        </w:rPr>
      </w:pPr>
    </w:p>
    <w:p w14:paraId="01C6FE0F" w14:textId="16FB5028" w:rsidR="00327590" w:rsidRPr="009B2C31" w:rsidRDefault="006C5AE2">
      <w:pPr>
        <w:pStyle w:val="Body"/>
        <w:rPr>
          <w:b/>
          <w:bCs/>
          <w:lang w:val="en-GB"/>
        </w:rPr>
      </w:pPr>
      <w:r w:rsidRPr="009B2C31">
        <w:rPr>
          <w:b/>
          <w:bCs/>
          <w:lang w:val="en-GB"/>
        </w:rPr>
        <w:lastRenderedPageBreak/>
        <w:t>Interpretation of results</w:t>
      </w:r>
    </w:p>
    <w:p w14:paraId="4A0D3507" w14:textId="77777777" w:rsidR="00327590" w:rsidRPr="009B2C31" w:rsidRDefault="006C5AE2">
      <w:pPr>
        <w:pStyle w:val="Body"/>
        <w:rPr>
          <w:lang w:val="en-GB"/>
        </w:rPr>
      </w:pPr>
      <w:r w:rsidRPr="009B2C31">
        <w:rPr>
          <w:lang w:val="en-GB"/>
        </w:rPr>
        <w:t xml:space="preserve">This indicator is used to determine whether the value of intra-regional flows is greater or smaller than would be expected </w:t>
      </w:r>
      <w:r w:rsidR="00844F94">
        <w:rPr>
          <w:lang w:val="en-GB"/>
        </w:rPr>
        <w:t>based on</w:t>
      </w:r>
      <w:r w:rsidRPr="009B2C31">
        <w:rPr>
          <w:lang w:val="en-GB"/>
        </w:rPr>
        <w:t xml:space="preserve"> the region</w:t>
      </w:r>
      <w:r w:rsidRPr="009B2C31">
        <w:rPr>
          <w:rtl/>
          <w:lang w:val="en-GB"/>
        </w:rPr>
        <w:t>’</w:t>
      </w:r>
      <w:r w:rsidRPr="009B2C31">
        <w:rPr>
          <w:lang w:val="en-GB"/>
        </w:rPr>
        <w:t>s importance in worldwide flows. This value is:</w:t>
      </w:r>
    </w:p>
    <w:p w14:paraId="77B8347E" w14:textId="77777777" w:rsidR="00327590" w:rsidRPr="009B2C31" w:rsidRDefault="006C5AE2">
      <w:pPr>
        <w:pStyle w:val="Body"/>
        <w:numPr>
          <w:ilvl w:val="0"/>
          <w:numId w:val="4"/>
        </w:numPr>
        <w:rPr>
          <w:lang w:val="en-GB"/>
        </w:rPr>
      </w:pPr>
      <w:r w:rsidRPr="009B2C31">
        <w:rPr>
          <w:lang w:val="en-GB"/>
        </w:rPr>
        <w:t>equal to zero in the case of no intra-regional trade, migration and investment;</w:t>
      </w:r>
    </w:p>
    <w:p w14:paraId="70C2CCA4" w14:textId="77777777" w:rsidR="00327590" w:rsidRPr="009B2C31" w:rsidRDefault="006C5AE2">
      <w:pPr>
        <w:pStyle w:val="Body"/>
        <w:numPr>
          <w:ilvl w:val="0"/>
          <w:numId w:val="4"/>
        </w:numPr>
        <w:rPr>
          <w:lang w:val="en-GB"/>
        </w:rPr>
      </w:pPr>
      <w:r w:rsidRPr="009B2C31">
        <w:rPr>
          <w:lang w:val="en-GB"/>
        </w:rPr>
        <w:t>equal to one if the region</w:t>
      </w:r>
      <w:r w:rsidRPr="009B2C31">
        <w:rPr>
          <w:rtl/>
          <w:lang w:val="en-GB"/>
        </w:rPr>
        <w:t>’</w:t>
      </w:r>
      <w:r w:rsidRPr="009B2C31">
        <w:rPr>
          <w:lang w:val="en-GB"/>
        </w:rPr>
        <w:t>s weight in its own trade is equal to its weight in world flows (geographic neutrality);</w:t>
      </w:r>
    </w:p>
    <w:p w14:paraId="7C31ADFB" w14:textId="77777777" w:rsidR="00327590" w:rsidRPr="009B2C31" w:rsidRDefault="006C5AE2">
      <w:pPr>
        <w:pStyle w:val="Body"/>
        <w:numPr>
          <w:ilvl w:val="0"/>
          <w:numId w:val="4"/>
        </w:numPr>
        <w:rPr>
          <w:lang w:val="en-GB"/>
        </w:rPr>
      </w:pPr>
      <w:r w:rsidRPr="009B2C31">
        <w:rPr>
          <w:lang w:val="en-GB"/>
        </w:rPr>
        <w:t xml:space="preserve">higher than one if intra-regional flows are relatively more important than the flows with the rest of the world; </w:t>
      </w:r>
    </w:p>
    <w:p w14:paraId="18EC6082" w14:textId="00D35BC1" w:rsidR="00327590" w:rsidRDefault="006C5AE2">
      <w:pPr>
        <w:pStyle w:val="Body"/>
        <w:numPr>
          <w:ilvl w:val="0"/>
          <w:numId w:val="4"/>
        </w:numPr>
        <w:rPr>
          <w:lang w:val="en-GB"/>
        </w:rPr>
      </w:pPr>
      <w:r w:rsidRPr="009B2C31">
        <w:rPr>
          <w:lang w:val="en-GB"/>
        </w:rPr>
        <w:t>equal to the reciprocal of the region</w:t>
      </w:r>
      <w:r w:rsidRPr="009B2C31">
        <w:rPr>
          <w:rtl/>
          <w:lang w:val="en-GB"/>
        </w:rPr>
        <w:t>’</w:t>
      </w:r>
      <w:r w:rsidRPr="009B2C31">
        <w:rPr>
          <w:lang w:val="en-GB"/>
        </w:rPr>
        <w:t xml:space="preserve">s share in world trade when all flows are intra-regional. </w:t>
      </w:r>
    </w:p>
    <w:p w14:paraId="4773BC73" w14:textId="77777777" w:rsidR="006C27D0" w:rsidRPr="009B2C31" w:rsidRDefault="006C27D0" w:rsidP="006C27D0">
      <w:pPr>
        <w:pStyle w:val="Body"/>
        <w:ind w:left="180"/>
        <w:rPr>
          <w:lang w:val="en-GB"/>
        </w:rPr>
      </w:pPr>
    </w:p>
    <w:p w14:paraId="3F3F2B7A" w14:textId="77777777" w:rsidR="00327590" w:rsidRPr="009B2C31" w:rsidRDefault="006C5AE2">
      <w:pPr>
        <w:pStyle w:val="Heading3"/>
        <w:rPr>
          <w:lang w:val="en-GB"/>
        </w:rPr>
      </w:pPr>
      <w:bookmarkStart w:id="19" w:name="_Toc26868482"/>
      <w:r w:rsidRPr="009B2C31">
        <w:rPr>
          <w:rFonts w:eastAsia="Arial Unicode MS" w:cs="Arial Unicode MS"/>
          <w:lang w:val="en-GB"/>
        </w:rPr>
        <w:t>Homogenous intra-regional and extra-regional intensity indexes</w:t>
      </w:r>
      <w:bookmarkEnd w:id="19"/>
    </w:p>
    <w:p w14:paraId="7573AF66" w14:textId="77777777" w:rsidR="00327590" w:rsidRPr="009B2C31" w:rsidRDefault="006C5AE2">
      <w:pPr>
        <w:pStyle w:val="Body"/>
        <w:rPr>
          <w:b/>
          <w:bCs/>
          <w:lang w:val="en-GB"/>
        </w:rPr>
      </w:pPr>
      <w:r w:rsidRPr="009B2C31">
        <w:rPr>
          <w:b/>
          <w:bCs/>
          <w:lang w:val="en-GB"/>
        </w:rPr>
        <w:t>Definition</w:t>
      </w:r>
    </w:p>
    <w:p w14:paraId="721CD237" w14:textId="77777777" w:rsidR="00327590" w:rsidRPr="009B2C31" w:rsidRDefault="006C5AE2">
      <w:pPr>
        <w:pStyle w:val="Body"/>
        <w:rPr>
          <w:lang w:val="en-GB"/>
        </w:rPr>
      </w:pPr>
      <w:r w:rsidRPr="009B2C31">
        <w:rPr>
          <w:lang w:val="en-GB"/>
        </w:rPr>
        <w:t xml:space="preserve">The homogeneous version of the intra-regional intensity index, whose maximum value is independent from region </w:t>
      </w:r>
      <w:proofErr w:type="spellStart"/>
      <w:r w:rsidRPr="009B2C31">
        <w:rPr>
          <w:lang w:val="en-GB"/>
        </w:rPr>
        <w:t>i</w:t>
      </w:r>
      <w:proofErr w:type="spellEnd"/>
      <w:r w:rsidRPr="009B2C31">
        <w:rPr>
          <w:rtl/>
          <w:lang w:val="en-GB"/>
        </w:rPr>
        <w:t>’</w:t>
      </w:r>
      <w:r w:rsidRPr="009B2C31">
        <w:rPr>
          <w:lang w:val="en-GB"/>
        </w:rPr>
        <w:t xml:space="preserve">s trade, migration or investment size. Its denominator is the region’s share in the trade of the rest of the world. Thus:  </w:t>
      </w:r>
    </w:p>
    <w:p w14:paraId="56B9730D" w14:textId="4E9889DB" w:rsidR="00327590" w:rsidRPr="006C27D0" w:rsidRDefault="006C5AE2">
      <w:pPr>
        <w:pStyle w:val="Body"/>
        <w:rPr>
          <w:lang w:val="en-GB"/>
        </w:rPr>
      </w:pPr>
      <m:oMathPara>
        <m:oMathParaPr>
          <m:jc m:val="center"/>
        </m:oMathParaPr>
        <m:oMath>
          <m:r>
            <w:rPr>
              <w:rFonts w:ascii="Cambria Math" w:hAnsi="Cambria Math"/>
              <w:sz w:val="25"/>
              <w:szCs w:val="25"/>
              <w:lang w:val="en-GB"/>
            </w:rPr>
            <m:t>HIT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WT</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lang w:val="en-GB"/>
                        </w:rPr>
                        <m:t>IT</m:t>
                      </m:r>
                    </m:e>
                    <m:sub>
                      <m:r>
                        <w:rPr>
                          <w:rFonts w:ascii="Cambria Math" w:hAnsi="Cambria Math"/>
                          <w:sz w:val="25"/>
                          <w:szCs w:val="25"/>
                          <w:lang w:val="en-GB"/>
                        </w:rPr>
                        <m:t>t</m:t>
                      </m:r>
                    </m:sub>
                  </m:sSub>
                </m:den>
              </m:f>
            </m:den>
          </m:f>
          <m:r>
            <w:rPr>
              <w:rFonts w:ascii="Cambria Math" w:hAnsi="Cambria Math"/>
              <w:sz w:val="25"/>
              <w:szCs w:val="25"/>
              <w:lang w:val="en-GB"/>
            </w:rPr>
            <m:t>;     HIM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WM</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IM</m:t>
                      </m:r>
                    </m:e>
                    <m:sub>
                      <m:r>
                        <w:rPr>
                          <w:rFonts w:ascii="Cambria Math" w:hAnsi="Cambria Math"/>
                          <w:sz w:val="25"/>
                          <w:szCs w:val="25"/>
                          <w:lang w:val="en-GB"/>
                        </w:rPr>
                        <m:t>t</m:t>
                      </m:r>
                    </m:sub>
                  </m:sSub>
                </m:den>
              </m:f>
            </m:den>
          </m:f>
          <m:r>
            <w:rPr>
              <w:rFonts w:ascii="Cambria Math" w:hAnsi="Cambria Math"/>
              <w:sz w:val="25"/>
              <w:szCs w:val="25"/>
              <w:lang w:val="en-GB"/>
            </w:rPr>
            <m:t>;    HII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WI</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II</m:t>
                      </m:r>
                    </m:e>
                    <m:sub>
                      <m:r>
                        <w:rPr>
                          <w:rFonts w:ascii="Cambria Math" w:hAnsi="Cambria Math"/>
                          <w:sz w:val="25"/>
                          <w:szCs w:val="25"/>
                          <w:lang w:val="en-GB"/>
                        </w:rPr>
                        <m:t>t</m:t>
                      </m:r>
                    </m:sub>
                  </m:sSub>
                </m:den>
              </m:f>
            </m:den>
          </m:f>
          <m:r>
            <w:rPr>
              <w:rFonts w:ascii="Cambria Math" w:hAnsi="Cambria Math"/>
              <w:sz w:val="25"/>
              <w:szCs w:val="25"/>
              <w:lang w:val="en-GB"/>
            </w:rPr>
            <m:t>.</m:t>
          </m:r>
        </m:oMath>
      </m:oMathPara>
    </w:p>
    <w:p w14:paraId="237FA94B" w14:textId="77777777" w:rsidR="00327590" w:rsidRPr="009B2C31" w:rsidRDefault="006C5AE2">
      <w:pPr>
        <w:pStyle w:val="Body"/>
        <w:rPr>
          <w:lang w:val="en-GB"/>
        </w:rPr>
      </w:pPr>
      <w:r w:rsidRPr="009B2C31">
        <w:rPr>
          <w:lang w:val="en-GB"/>
        </w:rPr>
        <w:t>The homogenous extra-regional intensity indexes are the complementary indicators:</w:t>
      </w:r>
    </w:p>
    <w:p w14:paraId="61D087C7" w14:textId="558D9EA1" w:rsidR="006C27D0" w:rsidRPr="006C27D0" w:rsidRDefault="006C5AE2" w:rsidP="006C27D0">
      <w:pPr>
        <w:pStyle w:val="Body"/>
        <w:rPr>
          <w:sz w:val="25"/>
          <w:szCs w:val="25"/>
          <w:lang w:val="en-GB"/>
        </w:rPr>
      </w:pPr>
      <m:oMathPara>
        <m:oMath>
          <m:r>
            <w:rPr>
              <w:rFonts w:ascii="Cambria Math" w:hAnsi="Cambria Math"/>
              <w:sz w:val="25"/>
              <w:szCs w:val="25"/>
              <w:lang w:val="en-GB"/>
            </w:rPr>
            <m:t>HET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T</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WT</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lang w:val="en-GB"/>
                        </w:rPr>
                        <m:t>IT</m:t>
                      </m:r>
                    </m:e>
                    <m:sub>
                      <m:r>
                        <w:rPr>
                          <w:rFonts w:ascii="Cambria Math" w:hAnsi="Cambria Math"/>
                          <w:sz w:val="25"/>
                          <w:szCs w:val="25"/>
                          <w:lang w:val="en-GB"/>
                        </w:rPr>
                        <m:t>t</m:t>
                      </m:r>
                    </m:sub>
                  </m:sSub>
                </m:den>
              </m:f>
            </m:den>
          </m:f>
          <m:r>
            <w:rPr>
              <w:rFonts w:ascii="Cambria Math" w:hAnsi="Cambria Math"/>
              <w:sz w:val="25"/>
              <w:szCs w:val="25"/>
              <w:lang w:val="en-GB"/>
            </w:rPr>
            <m:t>;     HEM</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M</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WM</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IM</m:t>
                      </m:r>
                    </m:e>
                    <m:sub>
                      <m:r>
                        <w:rPr>
                          <w:rFonts w:ascii="Cambria Math" w:hAnsi="Cambria Math"/>
                          <w:sz w:val="25"/>
                          <w:szCs w:val="25"/>
                          <w:lang w:val="en-GB"/>
                        </w:rPr>
                        <m:t>t</m:t>
                      </m:r>
                    </m:sub>
                  </m:sSub>
                </m:den>
              </m:f>
            </m:den>
          </m:f>
          <m:r>
            <w:rPr>
              <w:rFonts w:ascii="Cambria Math" w:hAnsi="Cambria Math"/>
              <w:sz w:val="25"/>
              <w:szCs w:val="25"/>
              <w:lang w:val="en-GB"/>
            </w:rPr>
            <m:t>;     HEI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I</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r>
                    <w:rPr>
                      <w:rFonts w:ascii="Cambria Math" w:hAnsi="Cambria Math"/>
                      <w:sz w:val="25"/>
                      <w:szCs w:val="25"/>
                      <w:lang w:val="en-GB"/>
                    </w:rPr>
                    <m:t>T</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den>
              </m:f>
            </m:num>
            <m:den>
              <m:r>
                <w:rPr>
                  <w:rFonts w:ascii="Cambria Math" w:hAnsi="Cambria Math"/>
                  <w:sz w:val="25"/>
                  <w:szCs w:val="25"/>
                  <w:lang w:val="en-GB"/>
                </w:rPr>
                <m:t>1-</m:t>
              </m:r>
              <m:f>
                <m:fPr>
                  <m:ctrlPr>
                    <w:rPr>
                      <w:rFonts w:ascii="Cambria Math" w:hAnsi="Cambria Math"/>
                      <w:i/>
                      <w:sz w:val="25"/>
                      <w:szCs w:val="25"/>
                      <w:lang w:val="en-GB"/>
                    </w:rPr>
                  </m:ctrlPr>
                </m:fPr>
                <m:num>
                  <m:r>
                    <w:rPr>
                      <w:rFonts w:ascii="Cambria Math" w:hAnsi="Cambria Math"/>
                      <w:sz w:val="25"/>
                      <w:szCs w:val="25"/>
                      <w:lang w:val="en-GB"/>
                    </w:rPr>
                    <m:t>E</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num>
                <m:den>
                  <m:sSub>
                    <m:sSubPr>
                      <m:ctrlPr>
                        <w:rPr>
                          <w:rFonts w:ascii="Cambria Math" w:hAnsi="Cambria Math"/>
                          <w:lang w:val="en-GB"/>
                        </w:rPr>
                      </m:ctrlPr>
                    </m:sSubPr>
                    <m:e>
                      <m:r>
                        <w:rPr>
                          <w:rFonts w:ascii="Cambria Math" w:hAnsi="Cambria Math"/>
                          <w:lang w:val="en-GB"/>
                        </w:rPr>
                        <m:t>WI</m:t>
                      </m:r>
                    </m:e>
                    <m:sub>
                      <m:r>
                        <w:rPr>
                          <w:rFonts w:ascii="Cambria Math" w:hAnsi="Cambria Math"/>
                          <w:sz w:val="25"/>
                          <w:szCs w:val="25"/>
                          <w:lang w:val="en-GB"/>
                        </w:rPr>
                        <m:t>t</m:t>
                      </m:r>
                    </m:sub>
                  </m:sSub>
                  <m:r>
                    <w:rPr>
                      <w:rFonts w:ascii="Cambria Math" w:hAnsi="Cambria Math"/>
                      <w:sz w:val="25"/>
                      <w:szCs w:val="25"/>
                      <w:lang w:val="en-GB"/>
                    </w:rPr>
                    <m:t>-</m:t>
                  </m:r>
                  <m:sSub>
                    <m:sSubPr>
                      <m:ctrlPr>
                        <w:rPr>
                          <w:rFonts w:ascii="Cambria Math" w:hAnsi="Cambria Math"/>
                          <w:lang w:val="en-GB"/>
                        </w:rPr>
                      </m:ctrlPr>
                    </m:sSubPr>
                    <m:e>
                      <m:r>
                        <w:rPr>
                          <w:rFonts w:ascii="Cambria Math" w:hAnsi="Cambria Math"/>
                          <w:sz w:val="25"/>
                          <w:szCs w:val="25"/>
                          <w:lang w:val="en-GB"/>
                        </w:rPr>
                        <m:t>II</m:t>
                      </m:r>
                    </m:e>
                    <m:sub>
                      <m:r>
                        <w:rPr>
                          <w:rFonts w:ascii="Cambria Math" w:hAnsi="Cambria Math"/>
                          <w:sz w:val="25"/>
                          <w:szCs w:val="25"/>
                          <w:lang w:val="en-GB"/>
                        </w:rPr>
                        <m:t>t</m:t>
                      </m:r>
                    </m:sub>
                  </m:sSub>
                </m:den>
              </m:f>
            </m:den>
          </m:f>
          <m:r>
            <w:rPr>
              <w:rFonts w:ascii="Cambria Math" w:hAnsi="Cambria Math"/>
              <w:sz w:val="25"/>
              <w:szCs w:val="25"/>
              <w:lang w:val="en-GB"/>
            </w:rPr>
            <m:t>.</m:t>
          </m:r>
        </m:oMath>
      </m:oMathPara>
      <w:bookmarkStart w:id="20" w:name="_Toc26868483"/>
    </w:p>
    <w:p w14:paraId="2540C04E" w14:textId="77777777" w:rsidR="006C27D0" w:rsidRPr="006C27D0" w:rsidRDefault="006C27D0" w:rsidP="006C27D0">
      <w:pPr>
        <w:pStyle w:val="Body"/>
        <w:rPr>
          <w:lang w:val="en-GB"/>
        </w:rPr>
      </w:pPr>
    </w:p>
    <w:p w14:paraId="5CB2C02C" w14:textId="77777777" w:rsidR="000050B8" w:rsidRDefault="000050B8">
      <w:pPr>
        <w:pStyle w:val="Heading3"/>
        <w:rPr>
          <w:rFonts w:eastAsia="Arial Unicode MS" w:cs="Arial Unicode MS"/>
          <w:lang w:val="en-GB"/>
        </w:rPr>
      </w:pPr>
    </w:p>
    <w:p w14:paraId="179A3F0C" w14:textId="5AA6148F" w:rsidR="000050B8" w:rsidRDefault="000050B8">
      <w:pPr>
        <w:pStyle w:val="Heading3"/>
        <w:rPr>
          <w:rFonts w:eastAsia="Arial Unicode MS" w:cs="Arial Unicode MS"/>
          <w:lang w:val="en-GB"/>
        </w:rPr>
      </w:pPr>
    </w:p>
    <w:p w14:paraId="306F9F7F" w14:textId="77777777" w:rsidR="000050B8" w:rsidRPr="000050B8" w:rsidRDefault="000050B8" w:rsidP="000050B8">
      <w:pPr>
        <w:pStyle w:val="Body"/>
        <w:rPr>
          <w:lang w:val="en-GB"/>
        </w:rPr>
      </w:pPr>
    </w:p>
    <w:p w14:paraId="3924AD3B" w14:textId="17B86227" w:rsidR="00327590" w:rsidRPr="009B2C31" w:rsidRDefault="006C5AE2">
      <w:pPr>
        <w:pStyle w:val="Heading3"/>
        <w:rPr>
          <w:lang w:val="en-GB"/>
        </w:rPr>
      </w:pPr>
      <w:r w:rsidRPr="009B2C31">
        <w:rPr>
          <w:rFonts w:eastAsia="Arial Unicode MS" w:cs="Arial Unicode MS"/>
          <w:lang w:val="en-GB"/>
        </w:rPr>
        <w:lastRenderedPageBreak/>
        <w:t>Symmetric introversion index (STJ, SMJ, SIJ)</w:t>
      </w:r>
      <w:bookmarkEnd w:id="20"/>
    </w:p>
    <w:p w14:paraId="4F16784A" w14:textId="77777777" w:rsidR="00327590" w:rsidRPr="009B2C31" w:rsidRDefault="006C5AE2">
      <w:pPr>
        <w:pStyle w:val="Body"/>
        <w:rPr>
          <w:b/>
          <w:bCs/>
          <w:lang w:val="en-GB"/>
        </w:rPr>
      </w:pPr>
      <w:r w:rsidRPr="009B2C31">
        <w:rPr>
          <w:b/>
          <w:bCs/>
          <w:lang w:val="en-GB"/>
        </w:rPr>
        <w:t>Definition</w:t>
      </w:r>
    </w:p>
    <w:p w14:paraId="2C119024" w14:textId="3258C862" w:rsidR="00327590" w:rsidRPr="009B2C31" w:rsidRDefault="006C5AE2">
      <w:pPr>
        <w:pStyle w:val="Body"/>
        <w:rPr>
          <w:lang w:val="en-GB"/>
        </w:rPr>
      </w:pPr>
      <w:r w:rsidRPr="009B2C31">
        <w:rPr>
          <w:lang w:val="en-GB"/>
        </w:rPr>
        <w:t xml:space="preserve">The trade, migration an investment introversion indexes are indicators of relative intra-regional intensity, meaning that they show whether the intensity of intra-regional flows </w:t>
      </w:r>
      <w:r w:rsidR="00D54175">
        <w:rPr>
          <w:lang w:val="en-GB"/>
        </w:rPr>
        <w:t>grows</w:t>
      </w:r>
      <w:r w:rsidRPr="009B2C31">
        <w:rPr>
          <w:lang w:val="en-GB"/>
        </w:rPr>
        <w:t xml:space="preserve"> at a faster or at a slower pace than that of extra-regional flows. </w:t>
      </w:r>
    </w:p>
    <w:p w14:paraId="38D38614" w14:textId="77777777" w:rsidR="00327590" w:rsidRPr="009B2C31" w:rsidRDefault="006C5AE2">
      <w:pPr>
        <w:pStyle w:val="Body"/>
        <w:rPr>
          <w:lang w:val="en-GB"/>
        </w:rPr>
      </w:pPr>
      <w:r w:rsidRPr="009B2C31">
        <w:rPr>
          <w:lang w:val="en-GB"/>
        </w:rPr>
        <w:t>The symmetrical version is defined as follows:</w:t>
      </w:r>
    </w:p>
    <w:p w14:paraId="25CB6E4E"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STJ=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+HET</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0853734B" w14:textId="77777777" w:rsidR="00327590" w:rsidRPr="009B2C31" w:rsidRDefault="00327590" w:rsidP="006C27D0">
      <w:pPr>
        <w:pStyle w:val="Body"/>
        <w:spacing w:line="240" w:lineRule="auto"/>
        <w:jc w:val="center"/>
        <w:rPr>
          <w:rFonts w:ascii="Times New Roman" w:eastAsia="Times New Roman" w:hAnsi="Times New Roman" w:cs="Times New Roman"/>
          <w:sz w:val="24"/>
          <w:szCs w:val="24"/>
          <w:u w:color="000000"/>
          <w:lang w:val="en-GB"/>
        </w:rPr>
      </w:pPr>
    </w:p>
    <w:p w14:paraId="047AA644"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SMJ=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+HEM</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70494402" w14:textId="77777777" w:rsidR="00327590" w:rsidRPr="009B2C31" w:rsidRDefault="00327590" w:rsidP="006C27D0">
      <w:pPr>
        <w:pStyle w:val="Body"/>
        <w:spacing w:line="240" w:lineRule="auto"/>
        <w:jc w:val="center"/>
        <w:rPr>
          <w:rFonts w:ascii="Times New Roman" w:eastAsia="Times New Roman" w:hAnsi="Times New Roman" w:cs="Times New Roman"/>
          <w:sz w:val="24"/>
          <w:szCs w:val="24"/>
          <w:u w:color="000000"/>
          <w:lang w:val="en-GB"/>
        </w:rPr>
      </w:pPr>
    </w:p>
    <w:p w14:paraId="45C3019A" w14:textId="77777777" w:rsidR="00327590" w:rsidRPr="006C27D0" w:rsidRDefault="006C5AE2" w:rsidP="006C27D0">
      <w:pPr>
        <w:pStyle w:val="Body"/>
        <w:spacing w:line="240" w:lineRule="auto"/>
        <w:jc w:val="center"/>
        <w:rPr>
          <w:rFonts w:ascii="Times New Roman" w:eastAsia="Times New Roman" w:hAnsi="Times New Roman" w:cs="Times New Roman"/>
          <w:sz w:val="24"/>
          <w:szCs w:val="24"/>
          <w:u w:color="000000"/>
          <w:lang w:val="en-GB"/>
        </w:rPr>
      </w:pPr>
      <m:oMathPara>
        <m:oMathParaPr>
          <m:jc m:val="center"/>
        </m:oMathParaPr>
        <m:oMath>
          <m:r>
            <w:rPr>
              <w:rFonts w:ascii="Cambria Math" w:hAnsi="Cambria Math"/>
              <w:sz w:val="24"/>
              <w:szCs w:val="24"/>
              <w:lang w:val="en-GB"/>
            </w:rPr>
            <m:t>SIJ=</m:t>
          </m:r>
          <m:f>
            <m:fPr>
              <m:ctrlPr>
                <w:rPr>
                  <w:rFonts w:ascii="Cambria Math" w:hAnsi="Cambria Math"/>
                  <w:i/>
                  <w:sz w:val="24"/>
                  <w:szCs w:val="24"/>
                  <w:lang w:val="en-GB"/>
                </w:rPr>
              </m:ctrlPr>
            </m:fPr>
            <m:num>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num>
            <m:den>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+1</m:t>
              </m:r>
            </m:den>
          </m:f>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num>
            <m:den>
              <m:r>
                <w:rPr>
                  <w:rFonts w:ascii="Cambria Math" w:hAnsi="Cambria Math"/>
                  <w:sz w:val="24"/>
                  <w:szCs w:val="24"/>
                  <w:lang w:val="en-GB"/>
                </w:rPr>
                <m:t>HII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r>
                <w:rPr>
                  <w:rFonts w:ascii="Cambria Math" w:hAnsi="Cambria Math"/>
                  <w:sz w:val="24"/>
                  <w:szCs w:val="24"/>
                  <w:lang w:val="en-GB"/>
                </w:rPr>
                <m:t>+HEI</m:t>
              </m:r>
              <m:sSub>
                <m:sSubPr>
                  <m:ctrlPr>
                    <w:rPr>
                      <w:rFonts w:ascii="Cambria Math" w:hAnsi="Cambria Math"/>
                      <w:lang w:val="en-GB"/>
                    </w:rPr>
                  </m:ctrlPr>
                </m:sSubPr>
                <m:e>
                  <m:r>
                    <w:rPr>
                      <w:rFonts w:ascii="Cambria Math" w:hAnsi="Cambria Math"/>
                      <w:sz w:val="24"/>
                      <w:szCs w:val="24"/>
                      <w:lang w:val="en-GB"/>
                    </w:rPr>
                    <m:t>I</m:t>
                  </m:r>
                </m:e>
                <m:sub>
                  <m:r>
                    <w:rPr>
                      <w:rFonts w:ascii="Cambria Math" w:hAnsi="Cambria Math"/>
                      <w:sz w:val="24"/>
                      <w:szCs w:val="24"/>
                      <w:lang w:val="en-GB"/>
                    </w:rPr>
                    <m:t>t</m:t>
                  </m:r>
                </m:sub>
              </m:sSub>
            </m:den>
          </m:f>
          <m:r>
            <w:rPr>
              <w:rFonts w:ascii="Cambria Math" w:hAnsi="Cambria Math"/>
              <w:sz w:val="24"/>
              <w:szCs w:val="24"/>
              <w:lang w:val="en-GB"/>
            </w:rPr>
            <m:t>;</m:t>
          </m:r>
        </m:oMath>
      </m:oMathPara>
    </w:p>
    <w:p w14:paraId="3F1FE366" w14:textId="77777777" w:rsidR="00944D8E" w:rsidRDefault="00944D8E">
      <w:pPr>
        <w:pStyle w:val="Body"/>
        <w:rPr>
          <w:b/>
          <w:bCs/>
          <w:lang w:val="en-GB"/>
        </w:rPr>
      </w:pPr>
    </w:p>
    <w:p w14:paraId="158F0214" w14:textId="2F7BE57E" w:rsidR="00327590" w:rsidRPr="009B2C31" w:rsidRDefault="006C5AE2">
      <w:pPr>
        <w:pStyle w:val="Body"/>
        <w:rPr>
          <w:b/>
          <w:bCs/>
          <w:lang w:val="en-GB"/>
        </w:rPr>
      </w:pPr>
      <w:r w:rsidRPr="009B2C31">
        <w:rPr>
          <w:b/>
          <w:bCs/>
          <w:lang w:val="en-GB"/>
        </w:rPr>
        <w:t>Range of values</w:t>
      </w:r>
    </w:p>
    <w:p w14:paraId="2A4F6553" w14:textId="77777777" w:rsidR="00327590" w:rsidRPr="009B2C31" w:rsidRDefault="006C5AE2">
      <w:pPr>
        <w:pStyle w:val="Body"/>
        <w:rPr>
          <w:lang w:val="en-GB"/>
        </w:rPr>
      </w:pPr>
      <w:r w:rsidRPr="009B2C31">
        <w:rPr>
          <w:lang w:val="en-GB"/>
        </w:rPr>
        <w:t>The value ranges from -1 to 1.</w:t>
      </w:r>
    </w:p>
    <w:p w14:paraId="42EEF380" w14:textId="77777777" w:rsidR="00327590" w:rsidRPr="009B2C31" w:rsidRDefault="00327590">
      <w:pPr>
        <w:pStyle w:val="Body"/>
        <w:rPr>
          <w:lang w:val="en-GB"/>
        </w:rPr>
      </w:pPr>
    </w:p>
    <w:p w14:paraId="640040E0" w14:textId="77777777" w:rsidR="00327590" w:rsidRPr="009B2C31" w:rsidRDefault="006C5AE2">
      <w:pPr>
        <w:pStyle w:val="Body"/>
        <w:rPr>
          <w:b/>
          <w:bCs/>
          <w:lang w:val="en-GB"/>
        </w:rPr>
      </w:pPr>
      <w:r w:rsidRPr="009B2C31">
        <w:rPr>
          <w:b/>
          <w:bCs/>
          <w:lang w:val="en-GB"/>
        </w:rPr>
        <w:t>Interpretation of results</w:t>
      </w:r>
    </w:p>
    <w:p w14:paraId="78C5C73C" w14:textId="77777777" w:rsidR="00327590" w:rsidRPr="009B2C31" w:rsidRDefault="006C5AE2">
      <w:pPr>
        <w:pStyle w:val="Body"/>
        <w:rPr>
          <w:lang w:val="en-GB"/>
        </w:rPr>
      </w:pPr>
      <w:r w:rsidRPr="009B2C31">
        <w:rPr>
          <w:lang w:val="en-GB"/>
        </w:rPr>
        <w:t>The STJ index value is:</w:t>
      </w:r>
    </w:p>
    <w:p w14:paraId="56793E49" w14:textId="77777777" w:rsidR="00327590" w:rsidRPr="009B2C31" w:rsidRDefault="006C5AE2">
      <w:pPr>
        <w:pStyle w:val="Body"/>
        <w:numPr>
          <w:ilvl w:val="0"/>
          <w:numId w:val="4"/>
        </w:numPr>
        <w:rPr>
          <w:lang w:val="en-GB"/>
        </w:rPr>
      </w:pPr>
      <w:r w:rsidRPr="009B2C31">
        <w:rPr>
          <w:lang w:val="en-GB"/>
        </w:rPr>
        <w:t xml:space="preserve">equal to minus one in the case of no intra-regional trade; </w:t>
      </w:r>
    </w:p>
    <w:p w14:paraId="0457492B" w14:textId="77777777" w:rsidR="00327590" w:rsidRPr="009B2C31" w:rsidRDefault="006C5AE2">
      <w:pPr>
        <w:pStyle w:val="Body"/>
        <w:numPr>
          <w:ilvl w:val="0"/>
          <w:numId w:val="4"/>
        </w:numPr>
        <w:rPr>
          <w:lang w:val="en-GB"/>
        </w:rPr>
      </w:pPr>
      <w:r w:rsidRPr="009B2C31">
        <w:rPr>
          <w:lang w:val="en-GB"/>
        </w:rPr>
        <w:t>equal to zero if the region</w:t>
      </w:r>
      <w:r w:rsidRPr="009B2C31">
        <w:rPr>
          <w:rtl/>
          <w:lang w:val="en-GB"/>
        </w:rPr>
        <w:t>’</w:t>
      </w:r>
      <w:r w:rsidRPr="009B2C31">
        <w:rPr>
          <w:lang w:val="en-GB"/>
        </w:rPr>
        <w:t>s weight in its trade is equal to its weight in the trade of the rest of the world (geographic neutrality);</w:t>
      </w:r>
    </w:p>
    <w:p w14:paraId="239EB783" w14:textId="684E2E89" w:rsidR="00327590" w:rsidRDefault="006C5AE2">
      <w:pPr>
        <w:pStyle w:val="Body"/>
        <w:numPr>
          <w:ilvl w:val="0"/>
          <w:numId w:val="4"/>
        </w:numPr>
        <w:rPr>
          <w:lang w:val="en-GB"/>
        </w:rPr>
      </w:pPr>
      <w:r w:rsidRPr="009B2C31">
        <w:rPr>
          <w:lang w:val="en-GB"/>
        </w:rPr>
        <w:t>equal to one in the case of no extra-regional trade.</w:t>
      </w:r>
    </w:p>
    <w:p w14:paraId="1A5C2459" w14:textId="77777777" w:rsidR="006C27D0" w:rsidRPr="009B2C31" w:rsidRDefault="006C27D0" w:rsidP="006C27D0">
      <w:pPr>
        <w:pStyle w:val="Body"/>
        <w:ind w:left="180"/>
        <w:rPr>
          <w:lang w:val="en-GB"/>
        </w:rPr>
      </w:pPr>
    </w:p>
    <w:p w14:paraId="431CB204" w14:textId="77777777" w:rsidR="000050B8" w:rsidRDefault="000050B8">
      <w:pPr>
        <w:pStyle w:val="Heading2"/>
        <w:rPr>
          <w:rFonts w:eastAsia="Arial Unicode MS" w:cs="Arial Unicode MS"/>
          <w:lang w:val="en-GB"/>
        </w:rPr>
      </w:pPr>
      <w:bookmarkStart w:id="21" w:name="_Toc26868484"/>
    </w:p>
    <w:p w14:paraId="485B0541" w14:textId="091E0565" w:rsidR="000050B8" w:rsidRDefault="000050B8">
      <w:pPr>
        <w:pStyle w:val="Heading2"/>
        <w:rPr>
          <w:rFonts w:eastAsia="Arial Unicode MS" w:cs="Arial Unicode MS"/>
          <w:lang w:val="en-GB"/>
        </w:rPr>
      </w:pPr>
    </w:p>
    <w:p w14:paraId="5FC1B208" w14:textId="77777777" w:rsidR="000050B8" w:rsidRPr="000050B8" w:rsidRDefault="000050B8" w:rsidP="000050B8">
      <w:pPr>
        <w:pStyle w:val="Body"/>
        <w:rPr>
          <w:lang w:val="en-GB"/>
        </w:rPr>
      </w:pPr>
    </w:p>
    <w:p w14:paraId="2A212A63" w14:textId="70FA2B46" w:rsidR="00327590" w:rsidRPr="009B2C31" w:rsidRDefault="006C5AE2">
      <w:pPr>
        <w:pStyle w:val="Heading2"/>
        <w:rPr>
          <w:lang w:val="en-GB"/>
        </w:rPr>
      </w:pPr>
      <w:r w:rsidRPr="009B2C31">
        <w:rPr>
          <w:rFonts w:eastAsia="Arial Unicode MS" w:cs="Arial Unicode MS"/>
          <w:lang w:val="en-GB"/>
        </w:rPr>
        <w:lastRenderedPageBreak/>
        <w:t>Indicators of the position in the world economy</w:t>
      </w:r>
      <w:bookmarkEnd w:id="21"/>
    </w:p>
    <w:p w14:paraId="5563D33B" w14:textId="77777777" w:rsidR="00327590" w:rsidRPr="009B2C31" w:rsidRDefault="006C5AE2">
      <w:pPr>
        <w:pStyle w:val="Heading3"/>
        <w:rPr>
          <w:lang w:val="en-GB"/>
        </w:rPr>
      </w:pPr>
      <w:bookmarkStart w:id="22" w:name="_Toc26868485"/>
      <w:r w:rsidRPr="009B2C31">
        <w:rPr>
          <w:rFonts w:eastAsia="Arial Unicode MS" w:cs="Arial Unicode MS"/>
          <w:lang w:val="en-GB"/>
        </w:rPr>
        <w:t>Population (POP)</w:t>
      </w:r>
      <w:bookmarkEnd w:id="22"/>
    </w:p>
    <w:p w14:paraId="71AB7245" w14:textId="77777777" w:rsidR="00327590" w:rsidRPr="009B2C31" w:rsidRDefault="006C5AE2">
      <w:pPr>
        <w:pStyle w:val="Body"/>
        <w:rPr>
          <w:b/>
          <w:bCs/>
          <w:lang w:val="en-GB"/>
        </w:rPr>
      </w:pPr>
      <w:r w:rsidRPr="009B2C31">
        <w:rPr>
          <w:b/>
          <w:bCs/>
          <w:lang w:val="en-GB"/>
        </w:rPr>
        <w:t>Definition</w:t>
      </w:r>
    </w:p>
    <w:p w14:paraId="594BBA39" w14:textId="77777777" w:rsidR="00327590" w:rsidRPr="009B2C31" w:rsidRDefault="006C5AE2">
      <w:pPr>
        <w:pStyle w:val="Body"/>
        <w:rPr>
          <w:lang w:val="en-GB"/>
        </w:rPr>
      </w:pPr>
      <w:r w:rsidRPr="009B2C31">
        <w:rPr>
          <w:lang w:val="en-GB"/>
        </w:rPr>
        <w:t>The sum of the population figures of the countries belonging to a particular regional integration arrangement.</w:t>
      </w:r>
    </w:p>
    <w:p w14:paraId="493411F8" w14:textId="3E11709B" w:rsidR="00327590" w:rsidRPr="006C27D0" w:rsidRDefault="006C5AE2">
      <w:pPr>
        <w:pStyle w:val="Body"/>
        <w:rPr>
          <w:lang w:val="en-GB"/>
        </w:rPr>
      </w:pPr>
      <m:oMathPara>
        <m:oMathParaPr>
          <m:jc m:val="center"/>
        </m:oMathParaPr>
        <m:oMath>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t</m:t>
              </m:r>
            </m:sub>
          </m:sSub>
          <m:r>
            <w:rPr>
              <w:rFonts w:ascii="Cambria Math" w:hAnsi="Cambria Math"/>
              <w:sz w:val="25"/>
              <w:szCs w:val="25"/>
              <w:lang w:val="en-GB"/>
            </w:rPr>
            <m:t>=</m:t>
          </m:r>
          <m:limLow>
            <m:limLowPr>
              <m:ctrlPr>
                <w:rPr>
                  <w:rFonts w:ascii="Cambria Math" w:hAnsi="Cambria Math"/>
                  <w:lang w:val="en-GB"/>
                </w:rPr>
              </m:ctrlPr>
            </m:limLowPr>
            <m:e>
              <m:r>
                <w:rPr>
                  <w:rFonts w:ascii="Cambria Math" w:hAnsi="Cambria Math"/>
                  <w:sz w:val="25"/>
                  <w:szCs w:val="25"/>
                  <w:lang w:val="en-GB"/>
                </w:rPr>
                <m:t>∑</m:t>
              </m:r>
            </m:e>
            <m:lim>
              <m:r>
                <w:rPr>
                  <w:rFonts w:ascii="Cambria Math" w:hAnsi="Cambria Math"/>
                  <w:sz w:val="25"/>
                  <w:szCs w:val="25"/>
                  <w:lang w:val="en-GB"/>
                </w:rPr>
                <m:t>i∈region</m:t>
              </m:r>
            </m:lim>
          </m:limLow>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oMath>
      </m:oMathPara>
    </w:p>
    <w:p w14:paraId="6DA23B32" w14:textId="77777777" w:rsidR="00327590" w:rsidRPr="009B2C31" w:rsidRDefault="006C5AE2">
      <w:pPr>
        <w:pStyle w:val="Heading3"/>
        <w:rPr>
          <w:lang w:val="en-GB"/>
        </w:rPr>
      </w:pPr>
      <w:bookmarkStart w:id="23" w:name="_Toc26868486"/>
      <w:r w:rsidRPr="009B2C31">
        <w:rPr>
          <w:rFonts w:eastAsia="Arial Unicode MS" w:cs="Arial Unicode MS"/>
          <w:lang w:val="en-GB"/>
        </w:rPr>
        <w:t>Share of world population (POPS)</w:t>
      </w:r>
      <w:bookmarkEnd w:id="23"/>
    </w:p>
    <w:p w14:paraId="03C5E0C8" w14:textId="77777777" w:rsidR="00327590" w:rsidRPr="009B2C31" w:rsidRDefault="006C5AE2">
      <w:pPr>
        <w:pStyle w:val="Body"/>
        <w:rPr>
          <w:b/>
          <w:bCs/>
          <w:lang w:val="en-GB"/>
        </w:rPr>
      </w:pPr>
      <w:r w:rsidRPr="009B2C31">
        <w:rPr>
          <w:b/>
          <w:bCs/>
          <w:lang w:val="en-GB"/>
        </w:rPr>
        <w:t>Definition</w:t>
      </w:r>
    </w:p>
    <w:p w14:paraId="594D169F" w14:textId="77777777" w:rsidR="00327590" w:rsidRPr="009B2C31" w:rsidRDefault="006C5AE2">
      <w:pPr>
        <w:pStyle w:val="Body"/>
        <w:rPr>
          <w:lang w:val="en-GB"/>
        </w:rPr>
      </w:pPr>
      <w:r w:rsidRPr="009B2C31">
        <w:rPr>
          <w:lang w:val="en-GB"/>
        </w:rPr>
        <w:t>The regional population as a percentage share of the world</w:t>
      </w:r>
      <w:r w:rsidRPr="009B2C31">
        <w:rPr>
          <w:rtl/>
          <w:lang w:val="en-GB"/>
        </w:rPr>
        <w:t>’</w:t>
      </w:r>
      <w:r w:rsidRPr="009B2C31">
        <w:rPr>
          <w:lang w:val="en-GB"/>
        </w:rPr>
        <w:t>s total population.</w:t>
      </w:r>
    </w:p>
    <w:p w14:paraId="7D69B3EA"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POP</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i∈world</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r>
            <w:rPr>
              <w:rFonts w:ascii="Cambria Math" w:hAnsi="Cambria Math"/>
              <w:sz w:val="25"/>
              <w:szCs w:val="25"/>
              <w:lang w:val="en-GB"/>
            </w:rPr>
            <m:t>100</m:t>
          </m:r>
        </m:oMath>
      </m:oMathPara>
    </w:p>
    <w:p w14:paraId="2BEAE4BA" w14:textId="77777777" w:rsidR="00327590" w:rsidRPr="009B2C31" w:rsidRDefault="006C5AE2">
      <w:pPr>
        <w:pStyle w:val="Heading3"/>
        <w:rPr>
          <w:lang w:val="en-GB"/>
        </w:rPr>
      </w:pPr>
      <w:bookmarkStart w:id="24" w:name="_Toc26868487"/>
      <w:r w:rsidRPr="009B2C31">
        <w:rPr>
          <w:rFonts w:eastAsia="Arial Unicode MS" w:cs="Arial Unicode MS"/>
          <w:lang w:val="en-GB"/>
        </w:rPr>
        <w:t>Gross Domestic Product (GDP)</w:t>
      </w:r>
      <w:bookmarkEnd w:id="24"/>
    </w:p>
    <w:p w14:paraId="6D558BFC" w14:textId="77777777" w:rsidR="00327590" w:rsidRPr="009B2C31" w:rsidRDefault="006C5AE2">
      <w:pPr>
        <w:pStyle w:val="Body"/>
        <w:rPr>
          <w:b/>
          <w:bCs/>
          <w:lang w:val="en-GB"/>
        </w:rPr>
      </w:pPr>
      <w:r w:rsidRPr="009B2C31">
        <w:rPr>
          <w:b/>
          <w:bCs/>
          <w:lang w:val="en-GB"/>
        </w:rPr>
        <w:t>Definition</w:t>
      </w:r>
    </w:p>
    <w:p w14:paraId="05E82947" w14:textId="77777777" w:rsidR="00327590" w:rsidRPr="009B2C31" w:rsidRDefault="006C5AE2">
      <w:pPr>
        <w:pStyle w:val="Body"/>
        <w:rPr>
          <w:lang w:val="en-GB"/>
        </w:rPr>
      </w:pPr>
      <w:r w:rsidRPr="009B2C31">
        <w:rPr>
          <w:lang w:val="en-GB"/>
        </w:rPr>
        <w:t>The sum of the GDP at current prices in US dollars of the set of countries belonging to a particular regional integration arrangement.</w:t>
      </w:r>
    </w:p>
    <w:p w14:paraId="36843D78"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t</m:t>
              </m:r>
            </m:sub>
          </m:sSub>
          <m:r>
            <w:rPr>
              <w:rFonts w:ascii="Cambria Math" w:hAnsi="Cambria Math"/>
              <w:sz w:val="25"/>
              <w:szCs w:val="25"/>
              <w:lang w:val="en-GB"/>
            </w:rPr>
            <m:t>=</m:t>
          </m:r>
          <m:limLow>
            <m:limLowPr>
              <m:ctrlPr>
                <w:rPr>
                  <w:rFonts w:ascii="Cambria Math" w:hAnsi="Cambria Math"/>
                  <w:lang w:val="en-GB"/>
                </w:rPr>
              </m:ctrlPr>
            </m:limLowPr>
            <m:e>
              <m:r>
                <w:rPr>
                  <w:rFonts w:ascii="Cambria Math" w:hAnsi="Cambria Math"/>
                  <w:sz w:val="25"/>
                  <w:szCs w:val="25"/>
                  <w:lang w:val="en-GB"/>
                </w:rPr>
                <m:t>∑</m:t>
              </m:r>
            </m:e>
            <m:lim>
              <m:r>
                <w:rPr>
                  <w:rFonts w:ascii="Cambria Math" w:hAnsi="Cambria Math"/>
                  <w:sz w:val="25"/>
                  <w:szCs w:val="25"/>
                  <w:lang w:val="en-GB"/>
                </w:rPr>
                <m:t>i∈region</m:t>
              </m:r>
            </m:lim>
          </m:limLow>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oMath>
      </m:oMathPara>
    </w:p>
    <w:p w14:paraId="0A36F2AC" w14:textId="77777777" w:rsidR="00327590" w:rsidRPr="009B2C31" w:rsidRDefault="006C5AE2">
      <w:pPr>
        <w:pStyle w:val="Heading3"/>
        <w:rPr>
          <w:lang w:val="en-GB"/>
        </w:rPr>
      </w:pPr>
      <w:bookmarkStart w:id="25" w:name="_Toc26868488"/>
      <w:r w:rsidRPr="009B2C31">
        <w:rPr>
          <w:rFonts w:eastAsia="Arial Unicode MS" w:cs="Arial Unicode MS"/>
          <w:lang w:val="en-GB"/>
        </w:rPr>
        <w:t>Regional share of Gross Domestic Product (GDPS)</w:t>
      </w:r>
      <w:bookmarkEnd w:id="25"/>
    </w:p>
    <w:p w14:paraId="79086E4C" w14:textId="77777777" w:rsidR="00327590" w:rsidRPr="009B2C31" w:rsidRDefault="006C5AE2">
      <w:pPr>
        <w:pStyle w:val="Body"/>
        <w:rPr>
          <w:b/>
          <w:bCs/>
          <w:i/>
          <w:iCs/>
          <w:lang w:val="en-GB"/>
        </w:rPr>
      </w:pPr>
      <w:r w:rsidRPr="009B2C31">
        <w:rPr>
          <w:b/>
          <w:bCs/>
          <w:i/>
          <w:iCs/>
          <w:lang w:val="en-GB"/>
        </w:rPr>
        <w:t>Definition</w:t>
      </w:r>
    </w:p>
    <w:p w14:paraId="537C5431" w14:textId="77777777" w:rsidR="00327590" w:rsidRPr="009B2C31" w:rsidRDefault="006C5AE2">
      <w:pPr>
        <w:pStyle w:val="Body"/>
        <w:rPr>
          <w:lang w:val="en-GB"/>
        </w:rPr>
      </w:pPr>
      <w:r w:rsidRPr="009B2C31">
        <w:rPr>
          <w:lang w:val="en-GB"/>
        </w:rPr>
        <w:t>The regional GDP at current prices in US dollars as a percentage share of the world</w:t>
      </w:r>
      <w:r w:rsidRPr="009B2C31">
        <w:rPr>
          <w:rtl/>
          <w:lang w:val="en-GB"/>
        </w:rPr>
        <w:t>’</w:t>
      </w:r>
      <w:r w:rsidRPr="009B2C31">
        <w:rPr>
          <w:lang w:val="en-GB"/>
        </w:rPr>
        <w:t>s total at current prices in US dollars.</w:t>
      </w:r>
    </w:p>
    <w:p w14:paraId="63B6BBEF" w14:textId="77777777" w:rsidR="00327590" w:rsidRPr="006C27D0" w:rsidRDefault="006C5AE2">
      <w:pPr>
        <w:pStyle w:val="Body"/>
        <w:jc w:val="left"/>
        <w:rPr>
          <w:b/>
          <w:bCs/>
          <w:lang w:val="en-GB"/>
        </w:rPr>
      </w:pPr>
      <m:oMathPara>
        <m:oMathParaPr>
          <m:jc m:val="center"/>
        </m:oMathParaPr>
        <m:oMath>
          <m:r>
            <w:rPr>
              <w:rFonts w:ascii="Cambria Math" w:hAnsi="Cambria Math"/>
              <w:sz w:val="25"/>
              <w:szCs w:val="25"/>
              <w:lang w:val="en-GB"/>
            </w:rPr>
            <m:t>GDP</m:t>
          </m:r>
          <m:sSub>
            <m:sSubPr>
              <m:ctrlPr>
                <w:rPr>
                  <w:rFonts w:ascii="Cambria Math" w:hAnsi="Cambria Math"/>
                  <w:lang w:val="en-GB"/>
                </w:rPr>
              </m:ctrlPr>
            </m:sSubPr>
            <m:e>
              <m:r>
                <w:rPr>
                  <w:rFonts w:ascii="Cambria Math" w:hAnsi="Cambria Math"/>
                  <w:sz w:val="25"/>
                  <w:szCs w:val="25"/>
                  <w:lang w:val="en-GB"/>
                </w:rPr>
                <m:t>S</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i∈world</m:t>
                  </m:r>
                </m:sub>
              </m:sSub>
              <m:r>
                <w:rPr>
                  <w:rFonts w:ascii="Cambria Math" w:hAnsi="Cambria Math"/>
                  <w:sz w:val="25"/>
                  <w:szCs w:val="25"/>
                  <w:lang w:val="en-GB"/>
                </w:rPr>
                <m:t>GD</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r>
            <w:rPr>
              <w:rFonts w:ascii="Cambria Math" w:hAnsi="Cambria Math"/>
              <w:sz w:val="25"/>
              <w:szCs w:val="25"/>
              <w:lang w:val="en-GB"/>
            </w:rPr>
            <m:t>100</m:t>
          </m:r>
        </m:oMath>
      </m:oMathPara>
    </w:p>
    <w:p w14:paraId="74549B62" w14:textId="77777777" w:rsidR="00327590" w:rsidRPr="009B2C31" w:rsidRDefault="00327590">
      <w:pPr>
        <w:pStyle w:val="Body"/>
        <w:rPr>
          <w:lang w:val="en-GB"/>
        </w:rPr>
      </w:pPr>
    </w:p>
    <w:p w14:paraId="7C83592E" w14:textId="77777777" w:rsidR="000050B8" w:rsidRDefault="000050B8">
      <w:pPr>
        <w:pStyle w:val="Heading3"/>
        <w:rPr>
          <w:rFonts w:eastAsia="Arial Unicode MS" w:cs="Arial Unicode MS"/>
          <w:lang w:val="en-GB"/>
        </w:rPr>
      </w:pPr>
      <w:bookmarkStart w:id="26" w:name="_Toc26868489"/>
    </w:p>
    <w:p w14:paraId="6CD9FD74" w14:textId="3240D6F6" w:rsidR="00327590" w:rsidRPr="009B2C31" w:rsidRDefault="006C5AE2">
      <w:pPr>
        <w:pStyle w:val="Heading3"/>
        <w:rPr>
          <w:lang w:val="en-GB"/>
        </w:rPr>
      </w:pPr>
      <w:r w:rsidRPr="009B2C31">
        <w:rPr>
          <w:rFonts w:eastAsia="Arial Unicode MS" w:cs="Arial Unicode MS"/>
          <w:lang w:val="en-GB"/>
        </w:rPr>
        <w:t>Weighted average of region’s Human Development Index (HDI)</w:t>
      </w:r>
      <w:bookmarkEnd w:id="26"/>
    </w:p>
    <w:p w14:paraId="01DD38EA" w14:textId="77777777" w:rsidR="00327590" w:rsidRPr="009B2C31" w:rsidRDefault="006C5AE2">
      <w:pPr>
        <w:pStyle w:val="Body"/>
        <w:rPr>
          <w:b/>
          <w:bCs/>
          <w:i/>
          <w:iCs/>
          <w:lang w:val="en-GB"/>
        </w:rPr>
      </w:pPr>
      <w:r w:rsidRPr="009B2C31">
        <w:rPr>
          <w:b/>
          <w:bCs/>
          <w:lang w:val="en-GB"/>
        </w:rPr>
        <w:t>Definition</w:t>
      </w:r>
    </w:p>
    <w:p w14:paraId="1EDD2088" w14:textId="77777777" w:rsidR="00327590" w:rsidRPr="009B2C31" w:rsidRDefault="006C5AE2">
      <w:pPr>
        <w:pStyle w:val="Body"/>
        <w:rPr>
          <w:lang w:val="en-GB"/>
        </w:rPr>
      </w:pPr>
      <w:r w:rsidRPr="009B2C31">
        <w:rPr>
          <w:lang w:val="en-GB"/>
        </w:rPr>
        <w:t xml:space="preserve">The weighted average of the Human Development Index value of the set of countries belonging to the regional integration agreement, weighted by their population size. </w:t>
      </w:r>
    </w:p>
    <w:p w14:paraId="2435CBBD" w14:textId="77777777" w:rsidR="00327590" w:rsidRPr="006C27D0" w:rsidRDefault="006C5AE2">
      <w:pPr>
        <w:pStyle w:val="Body"/>
        <w:rPr>
          <w:lang w:val="en-GB"/>
        </w:rPr>
      </w:pPr>
      <m:oMathPara>
        <m:oMathParaPr>
          <m:jc m:val="center"/>
        </m:oMathParaPr>
        <m:oMath>
          <m:r>
            <w:rPr>
              <w:rFonts w:ascii="Cambria Math" w:hAnsi="Cambria Math"/>
              <w:sz w:val="25"/>
              <w:szCs w:val="25"/>
              <w:lang w:val="en-GB"/>
            </w:rPr>
            <m:t>HD</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t</m:t>
              </m:r>
            </m:sub>
          </m:sSub>
          <m:r>
            <w:rPr>
              <w:rFonts w:ascii="Cambria Math" w:hAnsi="Cambria Math"/>
              <w:sz w:val="25"/>
              <w:szCs w:val="25"/>
              <w:lang w:val="en-GB"/>
            </w:rPr>
            <m:t>=</m:t>
          </m:r>
          <m:f>
            <m:fPr>
              <m:ctrlPr>
                <w:rPr>
                  <w:rFonts w:ascii="Cambria Math" w:hAnsi="Cambria Math"/>
                  <w:i/>
                  <w:sz w:val="25"/>
                  <w:szCs w:val="25"/>
                  <w:lang w:val="en-GB"/>
                </w:rPr>
              </m:ctrlPr>
            </m:fPr>
            <m:num>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r>
                <w:rPr>
                  <w:rFonts w:ascii="Cambria Math" w:hAnsi="Cambria Math"/>
                  <w:sz w:val="25"/>
                  <w:szCs w:val="25"/>
                  <w:lang w:val="en-GB"/>
                </w:rPr>
                <m:t>*HD</m:t>
              </m:r>
              <m:sSub>
                <m:sSubPr>
                  <m:ctrlPr>
                    <w:rPr>
                      <w:rFonts w:ascii="Cambria Math" w:hAnsi="Cambria Math"/>
                      <w:lang w:val="en-GB"/>
                    </w:rPr>
                  </m:ctrlPr>
                </m:sSubPr>
                <m:e>
                  <m:r>
                    <w:rPr>
                      <w:rFonts w:ascii="Cambria Math" w:hAnsi="Cambria Math"/>
                      <w:sz w:val="25"/>
                      <w:szCs w:val="25"/>
                      <w:lang w:val="en-GB"/>
                    </w:rPr>
                    <m:t>I</m:t>
                  </m:r>
                </m:e>
                <m:sub>
                  <m:r>
                    <w:rPr>
                      <w:rFonts w:ascii="Cambria Math" w:hAnsi="Cambria Math"/>
                      <w:sz w:val="25"/>
                      <w:szCs w:val="25"/>
                      <w:lang w:val="en-GB"/>
                    </w:rPr>
                    <m:t>i,t</m:t>
                  </m:r>
                </m:sub>
              </m:sSub>
            </m:num>
            <m:den>
              <m:sSub>
                <m:sSubPr>
                  <m:ctrlPr>
                    <w:rPr>
                      <w:rFonts w:ascii="Cambria Math" w:hAnsi="Cambria Math"/>
                      <w:lang w:val="en-GB"/>
                    </w:rPr>
                  </m:ctrlPr>
                </m:sSubPr>
                <m:e>
                  <m:r>
                    <w:rPr>
                      <w:rFonts w:ascii="Cambria Math" w:hAnsi="Cambria Math"/>
                      <w:sz w:val="25"/>
                      <w:szCs w:val="25"/>
                      <w:lang w:val="en-GB"/>
                    </w:rPr>
                    <m:t>∑</m:t>
                  </m:r>
                </m:e>
                <m:sub>
                  <m:r>
                    <w:rPr>
                      <w:rFonts w:ascii="Cambria Math" w:hAnsi="Cambria Math"/>
                      <w:sz w:val="25"/>
                      <w:szCs w:val="25"/>
                      <w:lang w:val="en-GB"/>
                    </w:rPr>
                    <m:t>i∈region</m:t>
                  </m:r>
                </m:sub>
              </m:sSub>
              <m:r>
                <w:rPr>
                  <w:rFonts w:ascii="Cambria Math" w:hAnsi="Cambria Math"/>
                  <w:sz w:val="25"/>
                  <w:szCs w:val="25"/>
                  <w:lang w:val="en-GB"/>
                </w:rPr>
                <m:t>PO</m:t>
              </m:r>
              <m:sSub>
                <m:sSubPr>
                  <m:ctrlPr>
                    <w:rPr>
                      <w:rFonts w:ascii="Cambria Math" w:hAnsi="Cambria Math"/>
                      <w:lang w:val="en-GB"/>
                    </w:rPr>
                  </m:ctrlPr>
                </m:sSubPr>
                <m:e>
                  <m:r>
                    <w:rPr>
                      <w:rFonts w:ascii="Cambria Math" w:hAnsi="Cambria Math"/>
                      <w:sz w:val="25"/>
                      <w:szCs w:val="25"/>
                      <w:lang w:val="en-GB"/>
                    </w:rPr>
                    <m:t>P</m:t>
                  </m:r>
                </m:e>
                <m:sub>
                  <m:r>
                    <w:rPr>
                      <w:rFonts w:ascii="Cambria Math" w:hAnsi="Cambria Math"/>
                      <w:sz w:val="25"/>
                      <w:szCs w:val="25"/>
                      <w:lang w:val="en-GB"/>
                    </w:rPr>
                    <m:t>i,t</m:t>
                  </m:r>
                </m:sub>
              </m:sSub>
            </m:den>
          </m:f>
        </m:oMath>
      </m:oMathPara>
    </w:p>
    <w:sectPr w:rsidR="00327590" w:rsidRPr="006C27D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B03D6" w14:textId="77777777" w:rsidR="00354E21" w:rsidRDefault="00354E21">
      <w:r>
        <w:separator/>
      </w:r>
    </w:p>
  </w:endnote>
  <w:endnote w:type="continuationSeparator" w:id="0">
    <w:p w14:paraId="3E30FED7" w14:textId="77777777" w:rsidR="00354E21" w:rsidRDefault="0035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5E37A" w14:textId="77777777" w:rsidR="00354E21" w:rsidRDefault="00354E21">
      <w:r>
        <w:separator/>
      </w:r>
    </w:p>
  </w:footnote>
  <w:footnote w:type="continuationSeparator" w:id="0">
    <w:p w14:paraId="25070A04" w14:textId="77777777" w:rsidR="00354E21" w:rsidRDefault="00354E21">
      <w:r>
        <w:continuationSeparator/>
      </w:r>
    </w:p>
  </w:footnote>
  <w:footnote w:id="1">
    <w:p w14:paraId="612B56AD" w14:textId="77777777" w:rsidR="00354E21" w:rsidRDefault="00354E21">
      <w:pPr>
        <w:pStyle w:val="FootnoteText"/>
      </w:pPr>
      <w:r>
        <w:rPr>
          <w:rStyle w:val="FootnoteReference"/>
        </w:rPr>
        <w:footnoteRef/>
      </w:r>
      <w:r>
        <w:t xml:space="preserve"> T</w:t>
      </w:r>
      <w:r w:rsidRPr="009B2C31">
        <w:rPr>
          <w:lang w:val="en-GB"/>
        </w:rPr>
        <w:t>he databases on migration in- and outflow</w:t>
      </w:r>
      <w:r>
        <w:rPr>
          <w:lang w:val="en-GB"/>
        </w:rPr>
        <w:t xml:space="preserve"> are </w:t>
      </w:r>
      <w:r w:rsidRPr="009B2C31">
        <w:rPr>
          <w:lang w:val="en-GB"/>
        </w:rPr>
        <w:t>limited to less than 50, mostly highly developed, destination countries</w:t>
      </w:r>
    </w:p>
  </w:footnote>
  <w:footnote w:id="2">
    <w:p w14:paraId="56A90EBA" w14:textId="77777777" w:rsidR="00354E21" w:rsidRDefault="00354E21">
      <w:pPr>
        <w:pStyle w:val="FootnoteText"/>
      </w:pPr>
      <w:r>
        <w:rPr>
          <w:rStyle w:val="FootnoteReference"/>
        </w:rPr>
        <w:footnoteRef/>
      </w:r>
      <w:r>
        <w:t xml:space="preserve"> </w:t>
      </w:r>
      <w:r>
        <w:rPr>
          <w:lang w:val="en-GB"/>
        </w:rPr>
        <w:t xml:space="preserve">The stock of </w:t>
      </w:r>
      <w:r w:rsidRPr="009B2C31">
        <w:rPr>
          <w:lang w:val="en-GB"/>
        </w:rPr>
        <w:t xml:space="preserve">foreign population databases </w:t>
      </w:r>
      <w:r>
        <w:rPr>
          <w:lang w:val="en-GB"/>
        </w:rPr>
        <w:t>typically are only available every</w:t>
      </w:r>
      <w:r w:rsidRPr="009B2C31">
        <w:rPr>
          <w:lang w:val="en-GB"/>
        </w:rPr>
        <w:t xml:space="preserve"> decade or half-decade</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800D6"/>
    <w:multiLevelType w:val="hybridMultilevel"/>
    <w:tmpl w:val="A3160B34"/>
    <w:styleLink w:val="BulletBig"/>
    <w:lvl w:ilvl="0" w:tplc="4156F7B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A9645D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FC6C46D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D95072B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48A076F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074A0C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9B0CC62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5B761AF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9FDE72E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39EB2CE4"/>
    <w:multiLevelType w:val="hybridMultilevel"/>
    <w:tmpl w:val="4678FFC8"/>
    <w:numStyleLink w:val="Bullet"/>
  </w:abstractNum>
  <w:abstractNum w:abstractNumId="2" w15:restartNumberingAfterBreak="0">
    <w:nsid w:val="43B659C1"/>
    <w:multiLevelType w:val="hybridMultilevel"/>
    <w:tmpl w:val="2FB4649A"/>
    <w:styleLink w:val="Dash"/>
    <w:lvl w:ilvl="0" w:tplc="0874C52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D29C61D6">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7FE060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F1A1A8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BFFA710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926F21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86E960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C16A7E1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4C7E06C0">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65721303"/>
    <w:multiLevelType w:val="hybridMultilevel"/>
    <w:tmpl w:val="A3160B34"/>
    <w:numStyleLink w:val="BulletBig"/>
  </w:abstractNum>
  <w:abstractNum w:abstractNumId="4" w15:restartNumberingAfterBreak="0">
    <w:nsid w:val="73CC2BD7"/>
    <w:multiLevelType w:val="hybridMultilevel"/>
    <w:tmpl w:val="2FB4649A"/>
    <w:numStyleLink w:val="Dash"/>
  </w:abstractNum>
  <w:abstractNum w:abstractNumId="5" w15:restartNumberingAfterBreak="0">
    <w:nsid w:val="7F6B6F53"/>
    <w:multiLevelType w:val="hybridMultilevel"/>
    <w:tmpl w:val="4678FFC8"/>
    <w:styleLink w:val="Bullet"/>
    <w:lvl w:ilvl="0" w:tplc="6476893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AD244B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4DE738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FCC741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B5431B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2762A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D60364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2C6C76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EA88B7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90"/>
    <w:rsid w:val="000038ED"/>
    <w:rsid w:val="000050B8"/>
    <w:rsid w:val="000D6190"/>
    <w:rsid w:val="001A4019"/>
    <w:rsid w:val="001B4246"/>
    <w:rsid w:val="001D6BA5"/>
    <w:rsid w:val="002009BE"/>
    <w:rsid w:val="002809E7"/>
    <w:rsid w:val="002F256E"/>
    <w:rsid w:val="002F58B2"/>
    <w:rsid w:val="00327590"/>
    <w:rsid w:val="00354E21"/>
    <w:rsid w:val="003E3A2E"/>
    <w:rsid w:val="00411E9D"/>
    <w:rsid w:val="004427F7"/>
    <w:rsid w:val="004464A4"/>
    <w:rsid w:val="004470DD"/>
    <w:rsid w:val="004D166B"/>
    <w:rsid w:val="00542058"/>
    <w:rsid w:val="00550B57"/>
    <w:rsid w:val="00557803"/>
    <w:rsid w:val="005924AC"/>
    <w:rsid w:val="005F056F"/>
    <w:rsid w:val="006A7D4A"/>
    <w:rsid w:val="006C27D0"/>
    <w:rsid w:val="006C5AE2"/>
    <w:rsid w:val="006C73AE"/>
    <w:rsid w:val="00707216"/>
    <w:rsid w:val="007A1918"/>
    <w:rsid w:val="00844F94"/>
    <w:rsid w:val="0087715B"/>
    <w:rsid w:val="008831D0"/>
    <w:rsid w:val="008A1F2D"/>
    <w:rsid w:val="00944D8E"/>
    <w:rsid w:val="009574D2"/>
    <w:rsid w:val="009A2DB7"/>
    <w:rsid w:val="009B2C31"/>
    <w:rsid w:val="009D42E1"/>
    <w:rsid w:val="00A851E5"/>
    <w:rsid w:val="00BB25EF"/>
    <w:rsid w:val="00BF20CC"/>
    <w:rsid w:val="00C26A98"/>
    <w:rsid w:val="00C83A6F"/>
    <w:rsid w:val="00C85E4E"/>
    <w:rsid w:val="00CB62E9"/>
    <w:rsid w:val="00CD608C"/>
    <w:rsid w:val="00D2431A"/>
    <w:rsid w:val="00D54175"/>
    <w:rsid w:val="00DD2920"/>
    <w:rsid w:val="00EC22F9"/>
    <w:rsid w:val="00ED4103"/>
    <w:rsid w:val="00F03120"/>
    <w:rsid w:val="00F12FEA"/>
    <w:rsid w:val="00F15BB5"/>
    <w:rsid w:val="00F76CBE"/>
    <w:rsid w:val="00F977BD"/>
    <w:rsid w:val="00FA51A2"/>
    <w:rsid w:val="00FA6816"/>
    <w:rsid w:val="00FB6231"/>
    <w:rsid w:val="00FB6F54"/>
    <w:rsid w:val="00FC20FD"/>
    <w:rsid w:val="1EFCA1E4"/>
    <w:rsid w:val="1F2494D3"/>
    <w:rsid w:val="250FF20F"/>
    <w:rsid w:val="48D13CFD"/>
    <w:rsid w:val="76B697DA"/>
    <w:rsid w:val="77EBD8D2"/>
    <w:rsid w:val="7F96C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CE35"/>
  <w15:docId w15:val="{3156E4B8-0D82-624A-9778-8FB4FD96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outlineLvl w:val="1"/>
    </w:pPr>
    <w:rPr>
      <w:rFonts w:ascii="Helvetica Neue" w:eastAsia="Helvetica Neue" w:hAnsi="Helvetica Neue" w:cs="Helvetica Neue"/>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spacing w:before="360" w:after="40" w:line="288" w:lineRule="auto"/>
      <w:outlineLvl w:val="2"/>
    </w:pPr>
    <w:rPr>
      <w:rFonts w:ascii="Helvetica Neue" w:eastAsia="Helvetica Neue" w:hAnsi="Helvetica Neue" w:cs="Helvetica Neue"/>
      <w:i/>
      <w:iC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360" w:lineRule="auto"/>
      <w:jc w:val="both"/>
    </w:pPr>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styleId="Subtitle">
    <w:name w:val="Subtitle"/>
    <w:next w:val="Body"/>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styleId="TOC1">
    <w:name w:val="toc 1"/>
    <w:uiPriority w:val="39"/>
    <w:pPr>
      <w:tabs>
        <w:tab w:val="right" w:pos="8928"/>
      </w:tabs>
      <w:spacing w:after="12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OC2">
    <w:name w:val="toc 2"/>
    <w:basedOn w:val="TOC2parent"/>
    <w:next w:val="TOC2parent"/>
    <w:uiPriority w:val="39"/>
    <w:pPr>
      <w:ind w:firstLine="360"/>
    </w:pPr>
  </w:style>
  <w:style w:type="paragraph" w:customStyle="1" w:styleId="TOC3parent">
    <w:name w:val="TOC 3 parent"/>
    <w:pPr>
      <w:tabs>
        <w:tab w:val="right" w:pos="8928"/>
      </w:tabs>
      <w:spacing w:after="120"/>
    </w:pPr>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OC3">
    <w:name w:val="toc 3"/>
    <w:basedOn w:val="TOC3parent"/>
    <w:next w:val="TOC3parent"/>
    <w:uiPriority w:val="39"/>
    <w:pPr>
      <w:ind w:firstLine="720"/>
    </w:p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Big">
    <w:name w:val="Bullet Big"/>
    <w:pPr>
      <w:numPr>
        <w:numId w:val="1"/>
      </w:numPr>
    </w:pPr>
  </w:style>
  <w:style w:type="character" w:customStyle="1" w:styleId="Hyperlink0">
    <w:name w:val="Hyperlink.0"/>
    <w:basedOn w:val="Hyperlink"/>
    <w:rPr>
      <w:u w:val="single"/>
    </w:rPr>
  </w:style>
  <w:style w:type="numbering" w:customStyle="1" w:styleId="Bullet">
    <w:name w:val="Bullet"/>
    <w:pPr>
      <w:numPr>
        <w:numId w:val="3"/>
      </w:numPr>
    </w:pPr>
  </w:style>
  <w:style w:type="numbering" w:customStyle="1" w:styleId="Dash">
    <w:name w:val="Dash"/>
    <w:pPr>
      <w:numPr>
        <w:numId w:val="5"/>
      </w:numPr>
    </w:pPr>
  </w:style>
  <w:style w:type="paragraph" w:styleId="BalloonText">
    <w:name w:val="Balloon Text"/>
    <w:basedOn w:val="Normal"/>
    <w:link w:val="BalloonTextChar"/>
    <w:uiPriority w:val="99"/>
    <w:semiHidden/>
    <w:unhideWhenUsed/>
    <w:rsid w:val="00ED4103"/>
    <w:rPr>
      <w:sz w:val="18"/>
      <w:szCs w:val="18"/>
    </w:rPr>
  </w:style>
  <w:style w:type="character" w:customStyle="1" w:styleId="BalloonTextChar">
    <w:name w:val="Balloon Text Char"/>
    <w:basedOn w:val="DefaultParagraphFont"/>
    <w:link w:val="BalloonText"/>
    <w:uiPriority w:val="99"/>
    <w:semiHidden/>
    <w:rsid w:val="00ED4103"/>
    <w:rPr>
      <w:sz w:val="18"/>
      <w:szCs w:val="18"/>
    </w:rPr>
  </w:style>
  <w:style w:type="paragraph" w:styleId="FootnoteText">
    <w:name w:val="footnote text"/>
    <w:basedOn w:val="Normal"/>
    <w:link w:val="FootnoteTextChar"/>
    <w:uiPriority w:val="99"/>
    <w:semiHidden/>
    <w:unhideWhenUsed/>
    <w:rsid w:val="00EC22F9"/>
    <w:rPr>
      <w:sz w:val="20"/>
      <w:szCs w:val="20"/>
    </w:rPr>
  </w:style>
  <w:style w:type="character" w:customStyle="1" w:styleId="FootnoteTextChar">
    <w:name w:val="Footnote Text Char"/>
    <w:basedOn w:val="DefaultParagraphFont"/>
    <w:link w:val="FootnoteText"/>
    <w:uiPriority w:val="99"/>
    <w:semiHidden/>
    <w:rsid w:val="00EC22F9"/>
  </w:style>
  <w:style w:type="character" w:styleId="FootnoteReference">
    <w:name w:val="footnote reference"/>
    <w:basedOn w:val="DefaultParagraphFont"/>
    <w:uiPriority w:val="99"/>
    <w:semiHidden/>
    <w:unhideWhenUsed/>
    <w:rsid w:val="00EC22F9"/>
    <w:rPr>
      <w:vertAlign w:val="superscript"/>
    </w:rPr>
  </w:style>
  <w:style w:type="paragraph" w:styleId="Header">
    <w:name w:val="header"/>
    <w:basedOn w:val="Normal"/>
    <w:link w:val="HeaderChar"/>
    <w:uiPriority w:val="99"/>
    <w:unhideWhenUsed/>
    <w:rsid w:val="00EC22F9"/>
    <w:pPr>
      <w:tabs>
        <w:tab w:val="center" w:pos="4680"/>
        <w:tab w:val="right" w:pos="9360"/>
      </w:tabs>
    </w:pPr>
  </w:style>
  <w:style w:type="character" w:customStyle="1" w:styleId="HeaderChar">
    <w:name w:val="Header Char"/>
    <w:basedOn w:val="DefaultParagraphFont"/>
    <w:link w:val="Header"/>
    <w:uiPriority w:val="99"/>
    <w:rsid w:val="00EC22F9"/>
    <w:rPr>
      <w:sz w:val="24"/>
      <w:szCs w:val="24"/>
    </w:rPr>
  </w:style>
  <w:style w:type="paragraph" w:styleId="Footer">
    <w:name w:val="footer"/>
    <w:basedOn w:val="Normal"/>
    <w:link w:val="FooterChar"/>
    <w:uiPriority w:val="99"/>
    <w:unhideWhenUsed/>
    <w:rsid w:val="00EC22F9"/>
    <w:pPr>
      <w:tabs>
        <w:tab w:val="center" w:pos="4680"/>
        <w:tab w:val="right" w:pos="9360"/>
      </w:tabs>
    </w:pPr>
  </w:style>
  <w:style w:type="character" w:customStyle="1" w:styleId="FooterChar">
    <w:name w:val="Footer Char"/>
    <w:basedOn w:val="DefaultParagraphFont"/>
    <w:link w:val="Footer"/>
    <w:uiPriority w:val="99"/>
    <w:rsid w:val="00EC22F9"/>
    <w:rPr>
      <w:sz w:val="24"/>
      <w:szCs w:val="24"/>
    </w:rPr>
  </w:style>
  <w:style w:type="character" w:styleId="CommentReference">
    <w:name w:val="annotation reference"/>
    <w:basedOn w:val="DefaultParagraphFont"/>
    <w:uiPriority w:val="99"/>
    <w:semiHidden/>
    <w:unhideWhenUsed/>
    <w:rsid w:val="001A4019"/>
    <w:rPr>
      <w:sz w:val="16"/>
      <w:szCs w:val="16"/>
    </w:rPr>
  </w:style>
  <w:style w:type="paragraph" w:styleId="CommentText">
    <w:name w:val="annotation text"/>
    <w:basedOn w:val="Normal"/>
    <w:link w:val="CommentTextChar"/>
    <w:uiPriority w:val="99"/>
    <w:semiHidden/>
    <w:unhideWhenUsed/>
    <w:rsid w:val="001A4019"/>
    <w:rPr>
      <w:sz w:val="20"/>
      <w:szCs w:val="20"/>
    </w:rPr>
  </w:style>
  <w:style w:type="character" w:customStyle="1" w:styleId="CommentTextChar">
    <w:name w:val="Comment Text Char"/>
    <w:basedOn w:val="DefaultParagraphFont"/>
    <w:link w:val="CommentText"/>
    <w:uiPriority w:val="99"/>
    <w:semiHidden/>
    <w:rsid w:val="001A4019"/>
  </w:style>
  <w:style w:type="paragraph" w:styleId="CommentSubject">
    <w:name w:val="annotation subject"/>
    <w:basedOn w:val="CommentText"/>
    <w:next w:val="CommentText"/>
    <w:link w:val="CommentSubjectChar"/>
    <w:uiPriority w:val="99"/>
    <w:semiHidden/>
    <w:unhideWhenUsed/>
    <w:rsid w:val="001A4019"/>
    <w:rPr>
      <w:b/>
      <w:bCs/>
    </w:rPr>
  </w:style>
  <w:style w:type="character" w:customStyle="1" w:styleId="CommentSubjectChar">
    <w:name w:val="Comment Subject Char"/>
    <w:basedOn w:val="CommentTextChar"/>
    <w:link w:val="CommentSubject"/>
    <w:uiPriority w:val="99"/>
    <w:semiHidden/>
    <w:rsid w:val="001A4019"/>
    <w:rPr>
      <w:b/>
      <w:bCs/>
    </w:rPr>
  </w:style>
  <w:style w:type="character" w:styleId="UnresolvedMention">
    <w:name w:val="Unresolved Mention"/>
    <w:basedOn w:val="DefaultParagraphFont"/>
    <w:uiPriority w:val="99"/>
    <w:semiHidden/>
    <w:unhideWhenUsed/>
    <w:rsid w:val="006C27D0"/>
    <w:rPr>
      <w:color w:val="605E5C"/>
      <w:shd w:val="clear" w:color="auto" w:fill="E1DFDD"/>
    </w:rPr>
  </w:style>
  <w:style w:type="character" w:styleId="FollowedHyperlink">
    <w:name w:val="FollowedHyperlink"/>
    <w:basedOn w:val="DefaultParagraphFont"/>
    <w:uiPriority w:val="99"/>
    <w:semiHidden/>
    <w:unhideWhenUsed/>
    <w:rsid w:val="000038ED"/>
    <w:rPr>
      <w:color w:val="FF00FF" w:themeColor="followedHyperlink"/>
      <w:u w:val="single"/>
    </w:rPr>
  </w:style>
  <w:style w:type="paragraph" w:styleId="ListParagraph">
    <w:name w:val="List Paragraph"/>
    <w:basedOn w:val="Normal"/>
    <w:uiPriority w:val="34"/>
    <w:qFormat/>
    <w:rsid w:val="00592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8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orldbank.org/en/topic/migrationremittancesdiasporaissues/brief/migration-remittances-data" TargetMode="External"/><Relationship Id="rId18" Type="http://schemas.openxmlformats.org/officeDocument/2006/relationships/hyperlink" Target="https://unctad.org/en/Pages/DIAE/FDI%20Statistics/FDI-Statistics-Bilateral.aspx" TargetMode="External"/><Relationship Id="rId26"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yperlink" Target="http://hdr.undp.org/en/content/human-development-index-hdi" TargetMode="External"/><Relationship Id="rId7" Type="http://schemas.openxmlformats.org/officeDocument/2006/relationships/image" Target="media/image1.jpeg"/><Relationship Id="rId12" Type="http://schemas.openxmlformats.org/officeDocument/2006/relationships/hyperlink" Target="https://www.un.org/en/development/desa/population/migration/data/estimates2/estimates19.asp" TargetMode="External"/><Relationship Id="rId17" Type="http://schemas.openxmlformats.org/officeDocument/2006/relationships/hyperlink" Target="https://www.migrationinstitute.org/data/demig-data/demig-c2c-data" TargetMode="External"/><Relationship Id="rId25"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s://stats.oecd.org" TargetMode="External"/><Relationship Id="rId20" Type="http://schemas.openxmlformats.org/officeDocument/2006/relationships/hyperlink" Target="http://www.apple.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trade.un.org/data/" TargetMode="External"/><Relationship Id="rId24"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un.org/en/development/desa/population/migration/data/empirical2/migrationflows.asp" TargetMode="External"/><Relationship Id="rId23" Type="http://schemas.openxmlformats.org/officeDocument/2006/relationships/image" Target="media/image4.emf"/><Relationship Id="rId28" Type="http://schemas.openxmlformats.org/officeDocument/2006/relationships/image" Target="media/image9.emf"/><Relationship Id="rId10" Type="http://schemas.openxmlformats.org/officeDocument/2006/relationships/hyperlink" Target="http://www.riks.cris.unu.edu" TargetMode="External"/><Relationship Id="rId19" Type="http://schemas.openxmlformats.org/officeDocument/2006/relationships/hyperlink" Target="https://datacatalog.worldbank.org/dataset/world-development-indicators" TargetMode="External"/><Relationship Id="rId4" Type="http://schemas.openxmlformats.org/officeDocument/2006/relationships/webSettings" Target="webSettings.xml"/><Relationship Id="rId9" Type="http://schemas.openxmlformats.org/officeDocument/2006/relationships/hyperlink" Target="mailto:riks@cris.unu.edu" TargetMode="External"/><Relationship Id="rId14" Type="http://schemas.openxmlformats.org/officeDocument/2006/relationships/hyperlink" Target="https://stats.oecd.org"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Standaert</cp:lastModifiedBy>
  <cp:revision>5</cp:revision>
  <cp:lastPrinted>2020-09-10T09:22:00Z</cp:lastPrinted>
  <dcterms:created xsi:type="dcterms:W3CDTF">2020-09-10T12:22:00Z</dcterms:created>
  <dcterms:modified xsi:type="dcterms:W3CDTF">2020-10-19T11:34:00Z</dcterms:modified>
</cp:coreProperties>
</file>